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16549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spacing w:before="6"/>
        <w:jc w:val="center"/>
        <w:rPr>
          <w:rFonts w:ascii="楷体" w:hAnsi="楷体" w:eastAsia="楷体" w:cs="楷体"/>
          <w:lang w:val="en-US"/>
        </w:rPr>
      </w:pPr>
    </w:p>
    <w:p/>
    <w:p/>
    <w:p>
      <w:pPr>
        <w:pStyle w:val="3"/>
        <w:spacing w:before="6"/>
        <w:jc w:val="center"/>
      </w:pPr>
      <w:r>
        <w:rPr>
          <w:rFonts w:hint="eastAsia"/>
          <w:lang w:val="en-US"/>
        </w:rPr>
        <w:t>枣科职院</w:t>
      </w:r>
      <w:r>
        <w:rPr>
          <w:rFonts w:hint="eastAsia"/>
        </w:rPr>
        <w:t>〔20</w:t>
      </w:r>
      <w:r>
        <w:rPr>
          <w:rFonts w:hint="eastAsia"/>
          <w:lang w:val="en-US"/>
        </w:rPr>
        <w:t>21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号</w:t>
      </w: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“进百企访万岗”活动实施方案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  知</w:t>
      </w: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学院各部门：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“进百企访万岗”活动实施方案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已经学院研究通过，现印发给你们，请结合工作实际，抓好贯彻落实。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570" w:lineRule="atLeast"/>
        <w:jc w:val="both"/>
        <w:outlineLvl w:val="0"/>
        <w:rPr>
          <w:rFonts w:ascii="仿宋_GB2312" w:hAnsi="宋体" w:eastAsia="仿宋_GB2312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枣庄科技职业学院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“进百企访万岗”活动实施方案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全市“工业强市、产业兴市”三年攻坚突破行动动员大会精神，根据枣科职院党〔2021〕2号《贯彻落实市委关于开展工业强市、产业兴市“攻坚五问”大调研大讨论活动实施方案》的通知要求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一、工作目的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服务地域社会经济发展，提高专业和产业的匹配度，培养应用型专业人才的工作目标，以“看现场、访岗位、谈合作、研改革”的方式，深入开展“进百企访万岗”活动，进而提高毕业生就业质量、提升学院社会美誉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（一）调研企业需求，改革学院供给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主动适应枣庄、滕州经济社会发展和行业产业转型升级的需要，按照学院专业发展的实际，围绕枣庄市“6+3”及滕州市“633” 的现代产业体系，优化专业布局，提升专业结构与产业结构的匹配度，不断提高人才培养质量，为工业强市、产业兴市提供人才支撑。通过活动开展，预测区域经济发展对所需人才的新要求及需求的专业和数量，有针对性的调整优化专业结构，实现专业与产业的对接，以满足企业对人才供给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（牵头部门：招生就业处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（二）深化校企合作，提高就业质量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社会及企业用人需求为导向，推进校企合作向纵深发展。校企共同行动，结合双方需要，坚持以本地为主，每个专业群至少确定三家合作核心联盟企业，意向六家合作外围联盟，实施实质性合作。建立专业对口、相对稳定的学生实习、就业基地、教师顶岗实践基地，企业在校内建立生产性实训基地。找准学校和企业双方利益的共同点，做好课程内容与岗位职业资格标准对接、教学过程和生产过程对接、毕业证和职业资格证书对接、职业教育与终生学习对接。推进订单培养或冠名班的工作，提高订单班或冠名班的招生率，校企深度合作，企业全程参与学生的招生到就业，学校跟踪服务毕业生。广泛对接当地企业，深度挖掘企业人才需求岗位，采取线上和线下相结合的方式，积极开展常态化各类招聘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（牵头部门：招生就业处）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（三）推进产教融合，改革培养模式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“引企入教”和“施教入企”改革，主动拓宽企业参与教育教学的渠道，将企业、职场和岗位的用人施才要素融入教育教学的全过程。着力构建校企共同开展人才培养方案制定、开发课程、实践教学资源、建设实习见习就业基地、举行职业生涯规划指导、实施毕业生质量调查的协同育人机制。认真学习企业管理制度，导入企业文化元素，借鉴企业管理中的成功经验和管理方法，管理学生的思想道德修养、组织纪律、行为习惯、生活学习场所。深入研究企业管理制度和绩效考核奖评机制，将其引入到学生综合素质测评，为企业培养一线所需要的下得去、用得上、留得住的高技能型人才。立足（墨子、鲁班）职业文化的研究的优势，主动与企业分享，并带动企业积极参与到职业文化研究中去，实现资源共享、优势互补，校企“双赢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（牵头部门：宣传部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团委学生工作处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（一）师生走进企业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师生通过讲座、参观、采访等，初步了解企业的研发、生产、销售、服务等运行情况，了解现代企业先进的管理模式和发展战略、现代技术在生产中的应用、企业文化等。全院师生积极参与，每位师生看一个企业网站，研究一次招工简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（二）师生调研企业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剖析企业岗位技能和职业素质对人才的需求，对服务供给与区域发展、行业、企业、岗位的匹配度和适应性开展调研，使课程与培养目标以及专业能力相结合；在人才培养育人模式上，积极探索现代企业管理、匠心文化、实训基地建设、师资互通、职业资格证书、科研和社会服务等方面的融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（三）毕业生走访调研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通过实地走访、座谈交流和问卷调查等方式了解我院毕业生的专业素质、职业素养和综合素质等情况，收集用人单位对人才培养方面的意见和建议，做好统计分析，以便有针对性地做好就业指导与咨询工作。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790" w:firstLineChars="24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（一）提高政治站位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活动开展与党史学习教育和大调研大讨论活动相结合，作为当前和今后一个时期党组织开展创先争优活动的重要内容。加强组织领导，以院长走进企业为引领，明确各级领导责任，相关职能部门联合教学单位，主动对接企业进行考察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（二）扎实有序开展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教学单位，根据滕州市“633”新产业体系下企业名单选择企业，制定本部门“进百企、访万岗”活动工作方案。4月下旬各教学单位要全面启动活动,同时按要求向招生就业处做好申请、备案。6月中旬前，各教学单位，邀请优质、重点企业入校，召开专场招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（三）科学运用成果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各有关部门要统一思想，认识活动的重要性，结合工作实际，开展 “进百企、访万岗”活动，活动过程（新闻报导）、调研报告等材料应完备，以支撑校企合作考核评价工作、专业评估工作以及人才培养数据状态平台填报工作。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（四）认真考核总结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下旬招生就业处根据各教学单位年度校企合作成果统计、过程佐证材料和工作总结，结合《校企合作考核办法》进行考核。各牵头部门及教学单位认真总结活动开展情况、取得的成绩和经验，形成1500字调研报告，于6月30日前，将纸质版交宣传部1101办公室，电子版发送至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"mailto:zkxcb01@163.m"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zkxcb01@163.m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“进百企访万岗”活动申请表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特色文旅康养产业链存量企业名单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4.</w:t>
      </w:r>
      <w:r>
        <w:rPr>
          <w:rFonts w:hint="eastAsia" w:ascii="仿宋_GB2312" w:hAnsi="仿宋_GB2312" w:eastAsia="仿宋_GB2312" w:cs="仿宋_GB2312"/>
          <w:sz w:val="32"/>
          <w:szCs w:val="32"/>
        </w:rPr>
        <w:t>商贸物流企业名单</w:t>
      </w:r>
    </w:p>
    <w:p>
      <w:pPr>
        <w:rPr>
          <w:rFonts w:hint="eastAsia" w:ascii="楷体" w:hAnsi="楷体" w:eastAsia="楷体"/>
          <w:sz w:val="28"/>
          <w:szCs w:val="24"/>
        </w:rPr>
      </w:pPr>
    </w:p>
    <w:p>
      <w:pPr>
        <w:rPr>
          <w:rFonts w:hint="eastAsia" w:ascii="楷体" w:hAnsi="楷体" w:eastAsia="楷体"/>
          <w:b/>
          <w:sz w:val="36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“进百企访万岗”活动申请表</w:t>
      </w:r>
    </w:p>
    <w:tbl>
      <w:tblPr>
        <w:tblStyle w:val="8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14"/>
        <w:gridCol w:w="741"/>
        <w:gridCol w:w="867"/>
        <w:gridCol w:w="87"/>
        <w:gridCol w:w="2181"/>
        <w:gridCol w:w="1050"/>
        <w:gridCol w:w="1515"/>
        <w:gridCol w:w="429"/>
        <w:gridCol w:w="1131"/>
        <w:gridCol w:w="369"/>
        <w:gridCol w:w="188"/>
      </w:tblGrid>
      <w:tr>
        <w:trPr>
          <w:trHeight w:val="720" w:hRule="atLeast"/>
        </w:trPr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申请部门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活动时间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5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对接企业及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所属产业</w:t>
            </w:r>
          </w:p>
        </w:tc>
        <w:tc>
          <w:tcPr>
            <w:tcW w:w="6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5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拟邀请院领导及相关处室</w:t>
            </w:r>
          </w:p>
        </w:tc>
        <w:tc>
          <w:tcPr>
            <w:tcW w:w="6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25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活动内容</w:t>
            </w:r>
          </w:p>
        </w:tc>
        <w:tc>
          <w:tcPr>
            <w:tcW w:w="6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5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招生就业处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审核</w:t>
            </w:r>
            <w:bookmarkStart w:id="1" w:name="_GoBack"/>
            <w:bookmarkEnd w:id="1"/>
          </w:p>
        </w:tc>
        <w:tc>
          <w:tcPr>
            <w:tcW w:w="6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3640" w:firstLineChars="1300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54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办公室备案</w:t>
            </w:r>
          </w:p>
        </w:tc>
        <w:tc>
          <w:tcPr>
            <w:tcW w:w="69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3640" w:firstLineChars="1300"/>
              <w:rPr>
                <w:rFonts w:ascii="楷体" w:hAnsi="楷体" w:eastAsia="楷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1230" w:hRule="atLeast"/>
        </w:trPr>
        <w:tc>
          <w:tcPr>
            <w:tcW w:w="9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小标宋简体" w:hAnsi="宋体" w:eastAsia="方正小标宋简体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/>
                <w:kern w:val="0"/>
                <w:sz w:val="44"/>
                <w:szCs w:val="44"/>
              </w:rPr>
              <w:t>工业企业名单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85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隶属镇街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单位详细名称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山东杭氧气体有限公司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兖矿鲁南化工有限公司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山东吉路尔轮胎有限公司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盛隆化工有限公司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界河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山东大明消毒科技有限公司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新能凤凰（滕州）能源有限公司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盛源宏达化工有限公司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官桥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山东奥卓新材料有限公司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中峰化学有限公司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山田橡胶科技有限公司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大坞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滕州瑞元香料有限公司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姜屯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滕州市悟通香料有限责任公司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联泓新材料科技股份有限公司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滕州市三合机械股份有限公司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山东红荷专用汽车有限公司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山东三维重工有限公司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山东奥宇模板有限公司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北辛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北一（山东）工业科技股份有限公司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707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隶属镇街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单位详细名称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滕州力华米泰克斯胶辊有限公司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山东普鲁特机床有限公司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山东威达重工股份有限公司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山东大川重工机床股份有限公司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山东鑫佳能源装备股份有限公司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枣庄市盛源荣达实业有限责任公司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山东海特数控机床有限公司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山东衡达有限责任公司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山东中科博联智能环保装备有限公司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山东宇生新能源汽车有限公司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姜屯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山东永乐机械制造有限公司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齐鲁之星智能机床有限公司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山东台海机械制造有限公司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滕州市山东大汉智能科技有限公司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高端装备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山东百特电器有限公司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家居装饰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启迪亚都（滕州）智能设备制造有限公司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家居装饰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滕州永喜无纺布有限公司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山东恒达品牌包装股份有限公司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山东锦腾弘达水刺无纺布有限责任公司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滕州市万宝童车有限公司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隶属镇街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单位详细名称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尚品本色智能家居有限公司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启迪亚都（滕州）新材料有限公司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家居装饰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滕州市东郭水泥有限公司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滕州市华能商品混凝土有限公司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羊庄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滕州中联水泥有限公司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山东省中联商品混凝土有限公司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山东艾菲尔管业有限公司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滕州滕南中联水泥有限公司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界河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鲁南中联水泥有限公司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山东连云山混凝土有限公司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山东北理华海复合材料有限公司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山东连云山建筑科技有限公司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界河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乾盟实业集团有限公司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建材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枣庄矿业集团滕东煤业有限公司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华电滕州新源热电有限公司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滕州市大宗煤矸石热电有限公司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枣庄矿业集团蒋庄煤矸石热电有限责任公司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级索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滕州亿达华闻煤电化有限公司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山东滕州盛源热电有限责任公司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滕州富源低热值燃料热电有限公司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煤电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隶属镇街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单位详细名称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滕州市新东谷面粉有限公司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rPr>
          <w:gridAfter w:val="1"/>
          <w:wAfter w:w="188" w:type="dxa"/>
          <w:trHeight w:val="51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山东恒仁工贸有限公司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山东锦旺食品有限公司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3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滕州市百麦奇食品有限公司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滕州东启肉类加工有限公司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2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滕州市北大仓面粉有限公司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5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北辛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山东万佳食品有限公司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rPr>
          <w:gridAfter w:val="1"/>
          <w:wAfter w:w="188" w:type="dxa"/>
          <w:trHeight w:val="46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山东德立盈实业有限公司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9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山东日盈食品有限公司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9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滕州市家乡麦面粉有限公司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rPr>
          <w:gridAfter w:val="1"/>
          <w:wAfter w:w="188" w:type="dxa"/>
          <w:trHeight w:val="52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滕州合易食品有限公司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山东福藤食品有限公司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食品加工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1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姜屯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北玻院（滕州）复合材料有限公司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山东腾达紧固科技股份有限公司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2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滕州市丰华玻璃有限公司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rPr>
          <w:gridAfter w:val="1"/>
          <w:wAfter w:w="188" w:type="dxa"/>
          <w:trHeight w:val="46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滕州市耀海玻雕有限公司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中材科技膜材料(山东)有限公司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rPr>
          <w:gridAfter w:val="1"/>
          <w:wAfter w:w="188" w:type="dxa"/>
          <w:trHeight w:val="49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山东元凯实业有限公司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滕州金晶玻璃有限公司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8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东郭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山东辛化硅胶有限公司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9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滕州市民盛玻璃制品有限公司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0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滕州市格瑞斯玻璃科技有限公司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5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官桥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山东创彩玻璃制品有限公司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5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滕州东方钢帘线有限公司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6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山东腾达不锈钢制品有限公司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49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北辛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山东腾达特种钢丝科技有限公司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95" w:hRule="atLeast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隶属镇街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单位详细名称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姜屯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北玻电力复合材料有限公司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新材料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山东光普太阳能工程有限公司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姜屯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山东福德新能源设备有限公司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7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级索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山东耀国光热科技股份有限公司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山东中科蓝天科技有限公司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rPr>
          <w:gridAfter w:val="1"/>
          <w:wAfter w:w="188" w:type="dxa"/>
          <w:trHeight w:val="51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中材锂膜有限公司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5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大坞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滕州瑞科天启能源科技有限公司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新能源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鲍沟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山东合超电气有限公司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滕州市泰源电力设备制造有限公司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山东山森数控技术有限公司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山东嘉诺电子有限公司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山东惠分仪器有限公司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善南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山东恒瑞磁电科技有限公司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rPr>
          <w:gridAfter w:val="1"/>
          <w:wAfter w:w="188" w:type="dxa"/>
          <w:trHeight w:val="63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山东华能线缆有限公司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新一代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" w:type="dxa"/>
          <w:trHeight w:val="540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大坞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威智医药有限公司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新医药</w:t>
            </w:r>
          </w:p>
        </w:tc>
      </w:tr>
      <w:tr>
        <w:trPr>
          <w:gridAfter w:val="1"/>
          <w:wAfter w:w="188" w:type="dxa"/>
          <w:trHeight w:val="505" w:hRule="atLeast"/>
        </w:trPr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南沙河</w:t>
            </w: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山东益康药业股份有限公司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600" w:hRule="atLeast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特色文旅康养产业链存量企业名单</w:t>
            </w:r>
          </w:p>
        </w:tc>
      </w:tr>
      <w:tr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重点企业名称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所属镇街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产业链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滕州市华闻纸业有限责任公司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级索镇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滕州市青林纸业有限公司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级索镇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滕州鲁班天工木艺有限公司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级索镇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山东红鹦鹉文化传媒有限公司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西岗镇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山东新华书店集团有限公司滕州分公司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北辛街道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滕州市盛泉工艺品有限责任公司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山东华瀚轻工业品有限公司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滕州市万宝童车有限公司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文化创意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微山湖湿地集团有限公司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滨湖镇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山东盈泰生态温泉度假村有限公司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洪绪镇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滕州市滨江国际大酒店有限公司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滕州市鲁班大饭店有限公司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  <w:tr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滕州真爱商城物业管理有限公司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426" w:type="dxa"/>
          <w:wAfter w:w="557" w:type="dxa"/>
          <w:trHeight w:val="720" w:hRule="atLeast"/>
        </w:trPr>
        <w:tc>
          <w:tcPr>
            <w:tcW w:w="12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滕州宾馆有限公司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北辛街道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精品旅游</w:t>
            </w:r>
          </w:p>
        </w:tc>
      </w:tr>
    </w:tbl>
    <w:p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tbl>
      <w:tblPr>
        <w:tblStyle w:val="8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8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商贸物流企业名单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5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隶属街道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万达广场（商场）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美铭万家购物中心（商场）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山东贵诚集团购物中心滕州问天店（商场）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滕州市大润发商业有限公司（超市）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银座商城大同路店（商场）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人和广场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龙泉街道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鲁华农副产品物流中心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真爱商城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荆河街道</w:t>
            </w:r>
          </w:p>
        </w:tc>
      </w:tr>
    </w:tbl>
    <w:p>
      <w:pPr>
        <w:spacing w:line="560" w:lineRule="exact"/>
        <w:ind w:firstLine="600" w:firstLineChars="200"/>
        <w:rPr>
          <w:rFonts w:hint="eastAsia" w:asciiTheme="minorEastAsia" w:hAnsiTheme="minorEastAsia"/>
          <w:sz w:val="30"/>
          <w:szCs w:val="30"/>
        </w:rPr>
      </w:pPr>
    </w:p>
    <w:p>
      <w:pPr>
        <w:adjustRightInd w:val="0"/>
        <w:snapToGrid w:val="0"/>
        <w:spacing w:line="530" w:lineRule="exact"/>
        <w:jc w:val="both"/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rFonts w:ascii="宋体"/>
        <w:sz w:val="24"/>
        <w:szCs w:val="24"/>
      </w:rPr>
    </w:pPr>
    <w:r>
      <w:rPr>
        <w:rStyle w:val="10"/>
        <w:rFonts w:ascii="宋体" w:hAnsi="宋体"/>
        <w:sz w:val="24"/>
        <w:szCs w:val="24"/>
      </w:rPr>
      <w:fldChar w:fldCharType="begin"/>
    </w:r>
    <w:r>
      <w:rPr>
        <w:rStyle w:val="10"/>
        <w:rFonts w:ascii="宋体" w:hAnsi="宋体"/>
        <w:sz w:val="24"/>
        <w:szCs w:val="24"/>
      </w:rPr>
      <w:instrText xml:space="preserve">PAGE  </w:instrText>
    </w:r>
    <w:r>
      <w:rPr>
        <w:rStyle w:val="10"/>
        <w:rFonts w:ascii="宋体" w:hAnsi="宋体"/>
        <w:sz w:val="24"/>
        <w:szCs w:val="24"/>
      </w:rPr>
      <w:fldChar w:fldCharType="separate"/>
    </w:r>
    <w:r>
      <w:rPr>
        <w:rStyle w:val="10"/>
        <w:rFonts w:ascii="宋体" w:hAnsi="宋体"/>
        <w:sz w:val="24"/>
        <w:szCs w:val="24"/>
      </w:rPr>
      <w:t>- 3 -</w:t>
    </w:r>
    <w:r>
      <w:rPr>
        <w:rStyle w:val="10"/>
        <w:rFonts w:ascii="宋体" w:hAnsi="宋体"/>
        <w:sz w:val="24"/>
        <w:szCs w:val="24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6B2ED3"/>
    <w:rsid w:val="00057981"/>
    <w:rsid w:val="000A272D"/>
    <w:rsid w:val="001E142E"/>
    <w:rsid w:val="00311FC6"/>
    <w:rsid w:val="006351D4"/>
    <w:rsid w:val="00727355"/>
    <w:rsid w:val="007C2E5E"/>
    <w:rsid w:val="008E3F5E"/>
    <w:rsid w:val="00A75F65"/>
    <w:rsid w:val="00CC64CA"/>
    <w:rsid w:val="00DE5720"/>
    <w:rsid w:val="00E801E0"/>
    <w:rsid w:val="00EA4410"/>
    <w:rsid w:val="00FF4956"/>
    <w:rsid w:val="03C7073D"/>
    <w:rsid w:val="07034BEF"/>
    <w:rsid w:val="0E67341C"/>
    <w:rsid w:val="0F103142"/>
    <w:rsid w:val="117E285B"/>
    <w:rsid w:val="13807D5A"/>
    <w:rsid w:val="1AFF2936"/>
    <w:rsid w:val="20F57B04"/>
    <w:rsid w:val="221F3DD6"/>
    <w:rsid w:val="26D70F0A"/>
    <w:rsid w:val="276B2ED3"/>
    <w:rsid w:val="28B41DB6"/>
    <w:rsid w:val="2A8D5A3F"/>
    <w:rsid w:val="2F0706C6"/>
    <w:rsid w:val="324C2B85"/>
    <w:rsid w:val="32F36BD6"/>
    <w:rsid w:val="40A34E0D"/>
    <w:rsid w:val="41EC387A"/>
    <w:rsid w:val="43476C3E"/>
    <w:rsid w:val="477F4307"/>
    <w:rsid w:val="4AA85D6E"/>
    <w:rsid w:val="4D095BE3"/>
    <w:rsid w:val="4FFB2E7F"/>
    <w:rsid w:val="559222C6"/>
    <w:rsid w:val="58310F3A"/>
    <w:rsid w:val="58CD24FC"/>
    <w:rsid w:val="5B815AF7"/>
    <w:rsid w:val="5CC15348"/>
    <w:rsid w:val="5EC86525"/>
    <w:rsid w:val="61910CCE"/>
    <w:rsid w:val="64D32C4C"/>
    <w:rsid w:val="6A14607D"/>
    <w:rsid w:val="6A3F5F82"/>
    <w:rsid w:val="756A564D"/>
    <w:rsid w:val="7A2D4227"/>
    <w:rsid w:val="7DF5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10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character" w:styleId="10">
    <w:name w:val="page number"/>
    <w:uiPriority w:val="99"/>
    <w:rPr>
      <w:rFonts w:cs="Times New Roman"/>
    </w:rPr>
  </w:style>
  <w:style w:type="character" w:styleId="11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3">
    <w:name w:val="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/>
      <w:szCs w:val="24"/>
    </w:rPr>
  </w:style>
  <w:style w:type="character" w:customStyle="1" w:styleId="14">
    <w:name w:val="页脚 Char"/>
    <w:basedOn w:val="9"/>
    <w:link w:val="5"/>
    <w:qFormat/>
    <w:uiPriority w:val="99"/>
    <w:rPr>
      <w:rFonts w:ascii="等线" w:hAnsi="等线" w:eastAsia="等线" w:cs="Times New Roman"/>
      <w:kern w:val="2"/>
      <w:sz w:val="18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6">
    <w:name w:val="批注框文本 Char"/>
    <w:basedOn w:val="9"/>
    <w:link w:val="4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7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743</Characters>
  <Lines>6</Lines>
  <Paragraphs>1</Paragraphs>
  <TotalTime>4</TotalTime>
  <ScaleCrop>false</ScaleCrop>
  <LinksUpToDate>false</LinksUpToDate>
  <CharactersWithSpaces>872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2021-03-31T01:59:00Z</dcterms:created>
  <dc:creator>印务中心</dc:creator>
  <cp:lastModifiedBy>马帅</cp:lastModifiedBy>
  <cp:lastPrinted>2021-04-22T00:56:00Z</cp:lastPrinted>
  <dcterms:modified xsi:type="dcterms:W3CDTF">2021-04-22T01:55:59Z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DE83158782D3430880981D720CC40AF3</vt:lpwstr>
  </property>
</Properties>
</file>