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eastAsia="方正小标宋简体"/>
          <w:sz w:val="44"/>
          <w:szCs w:val="44"/>
        </w:rPr>
      </w:pPr>
    </w:p>
    <w:p>
      <w:pPr>
        <w:pStyle w:val="2"/>
      </w:pPr>
    </w:p>
    <w:p/>
    <w:p>
      <w:pPr>
        <w:pStyle w:val="2"/>
      </w:pPr>
    </w:p>
    <w:p/>
    <w:p>
      <w:pPr>
        <w:pStyle w:val="2"/>
      </w:pPr>
    </w:p>
    <w:p/>
    <w:p>
      <w:pPr>
        <w:spacing w:line="560" w:lineRule="exact"/>
        <w:jc w:val="center"/>
        <w:rPr>
          <w:rFonts w:ascii="仿宋" w:hAnsi="仿宋" w:eastAsia="仿宋" w:cs="仿宋"/>
          <w:sz w:val="32"/>
          <w:szCs w:val="32"/>
        </w:rPr>
      </w:pPr>
      <w:bookmarkStart w:id="0" w:name="_Toc17723"/>
    </w:p>
    <w:p>
      <w:pPr>
        <w:spacing w:line="560" w:lineRule="exact"/>
        <w:jc w:val="center"/>
        <w:rPr>
          <w:rFonts w:ascii="仿宋" w:hAnsi="仿宋" w:eastAsia="仿宋" w:cs="仿宋"/>
          <w:sz w:val="32"/>
          <w:szCs w:val="32"/>
        </w:rPr>
      </w:pPr>
    </w:p>
    <w:bookmarkEnd w:id="0"/>
    <w:p>
      <w:pPr>
        <w:spacing w:line="560" w:lineRule="exact"/>
        <w:jc w:val="center"/>
        <w:rPr>
          <w:rFonts w:ascii="楷体_GB2312" w:hAnsi="楷体_GB2312" w:eastAsia="楷体_GB2312" w:cs="楷体_GB2312"/>
          <w:sz w:val="32"/>
          <w:szCs w:val="32"/>
        </w:rPr>
      </w:pPr>
      <w:r>
        <w:rPr>
          <w:rFonts w:hint="eastAsia" w:ascii="仿宋_GB2312" w:hAnsi="仿宋_GB2312" w:eastAsia="仿宋_GB2312" w:cs="仿宋_GB2312"/>
          <w:sz w:val="32"/>
          <w:szCs w:val="32"/>
        </w:rPr>
        <w:t>枣科职院字〔2021〕19号</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680" w:lineRule="exact"/>
        <w:jc w:val="center"/>
        <w:rPr>
          <w:rFonts w:ascii="方正小标宋简体" w:eastAsia="方正小标宋简体"/>
          <w:sz w:val="44"/>
          <w:szCs w:val="44"/>
        </w:rPr>
      </w:pPr>
      <w:r>
        <w:rPr>
          <w:rFonts w:hint="eastAsia" w:ascii="方正小标宋简体" w:eastAsia="方正小标宋简体"/>
          <w:sz w:val="44"/>
          <w:szCs w:val="44"/>
        </w:rPr>
        <w:t>枣庄科技职业学院</w:t>
      </w:r>
    </w:p>
    <w:p>
      <w:pPr>
        <w:spacing w:line="680" w:lineRule="exact"/>
        <w:jc w:val="center"/>
        <w:rPr>
          <w:rFonts w:ascii="方正小标宋简体" w:eastAsia="方正小标宋简体"/>
          <w:sz w:val="44"/>
          <w:szCs w:val="44"/>
        </w:rPr>
      </w:pPr>
      <w:r>
        <w:rPr>
          <w:rFonts w:hint="eastAsia" w:ascii="方正小标宋简体" w:eastAsia="方正小标宋简体"/>
          <w:sz w:val="44"/>
          <w:szCs w:val="44"/>
        </w:rPr>
        <w:t>关于印发《2020年度职能部门绩效考核办法（试行）》《2020年度教学部门绩效考核办法（试行）》的通知</w:t>
      </w:r>
    </w:p>
    <w:p>
      <w:pPr>
        <w:spacing w:line="560" w:lineRule="exact"/>
        <w:rPr>
          <w:rFonts w:ascii="方正小标宋简体" w:eastAsia="方正小标宋简体"/>
          <w:sz w:val="44"/>
          <w:szCs w:val="44"/>
        </w:rPr>
      </w:pPr>
    </w:p>
    <w:p>
      <w:pPr>
        <w:spacing w:line="560" w:lineRule="exact"/>
        <w:rPr>
          <w:rFonts w:ascii="仿宋_GB2312" w:hAnsi="华文中宋" w:eastAsia="仿宋_GB2312"/>
          <w:sz w:val="32"/>
          <w:szCs w:val="32"/>
        </w:rPr>
      </w:pPr>
      <w:r>
        <w:rPr>
          <w:rFonts w:hint="eastAsia" w:ascii="仿宋_GB2312" w:eastAsia="仿宋_GB2312"/>
          <w:sz w:val="32"/>
          <w:szCs w:val="32"/>
        </w:rPr>
        <w:t>学院各部门：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《2020年度职能部门绩效考核办法（试行）》《2020年度学院教学部门综合考核办法（试行）》已经院长办公会讨论通过，现印发给你们，请贯彻落实。</w:t>
      </w:r>
    </w:p>
    <w:p/>
    <w:p>
      <w:pPr>
        <w:rPr>
          <w:rFonts w:ascii="仿宋_GB2312" w:eastAsia="仿宋_GB2312"/>
          <w:sz w:val="32"/>
          <w:szCs w:val="32"/>
        </w:rPr>
      </w:pPr>
      <w:r>
        <w:rPr>
          <w:rFonts w:hint="eastAsia" w:ascii="仿宋_GB2312" w:eastAsia="仿宋_GB2312"/>
          <w:sz w:val="32"/>
          <w:szCs w:val="32"/>
        </w:rPr>
        <w:t xml:space="preserve">      附件：1.2020年度职能部门绩效考核办法（试行）</w:t>
      </w:r>
      <w:bookmarkStart w:id="9" w:name="_GoBack"/>
      <w:bookmarkEnd w:id="9"/>
    </w:p>
    <w:p>
      <w:pPr>
        <w:pStyle w:val="2"/>
        <w:rPr>
          <w:rFonts w:ascii="仿宋_GB2312" w:eastAsia="仿宋_GB2312"/>
          <w:sz w:val="32"/>
          <w:szCs w:val="32"/>
        </w:rPr>
      </w:pPr>
      <w:r>
        <w:rPr>
          <w:rFonts w:hint="eastAsia" w:ascii="仿宋_GB2312" w:eastAsia="仿宋_GB2312"/>
          <w:sz w:val="32"/>
          <w:szCs w:val="32"/>
        </w:rPr>
        <w:t xml:space="preserve">            2.2020年度教学部门绩效考核办法（试行）</w:t>
      </w:r>
    </w:p>
    <w:p>
      <w:pPr>
        <w:spacing w:line="560" w:lineRule="exact"/>
        <w:rPr>
          <w:rFonts w:ascii="仿宋_GB2312" w:eastAsia="仿宋_GB2312"/>
          <w:spacing w:val="30"/>
          <w:sz w:val="32"/>
          <w:szCs w:val="32"/>
        </w:rPr>
      </w:pPr>
    </w:p>
    <w:p/>
    <w:p>
      <w:pPr>
        <w:wordWrap w:val="0"/>
        <w:spacing w:line="560" w:lineRule="exact"/>
        <w:ind w:right="1280" w:firstLine="640" w:firstLineChars="200"/>
        <w:jc w:val="right"/>
        <w:rPr>
          <w:rFonts w:hint="eastAsia" w:ascii="仿宋_GB2312" w:eastAsia="仿宋_GB2312"/>
          <w:color w:val="000000"/>
          <w:sz w:val="32"/>
          <w:szCs w:val="32"/>
        </w:rPr>
      </w:pPr>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w:t>
      </w:r>
      <w:r>
        <w:rPr>
          <w:rFonts w:ascii="仿宋_GB2312" w:eastAsia="仿宋_GB2312"/>
          <w:color w:val="000000"/>
          <w:sz w:val="32"/>
          <w:szCs w:val="32"/>
        </w:rPr>
        <w:t>4</w:t>
      </w:r>
      <w:r>
        <w:rPr>
          <w:rFonts w:hint="eastAsia" w:ascii="仿宋_GB2312" w:eastAsia="仿宋_GB2312"/>
          <w:color w:val="000000"/>
          <w:sz w:val="32"/>
          <w:szCs w:val="32"/>
        </w:rPr>
        <w:t>月</w:t>
      </w:r>
      <w:r>
        <w:rPr>
          <w:rFonts w:ascii="仿宋_GB2312" w:eastAsia="仿宋_GB2312"/>
          <w:color w:val="000000"/>
          <w:sz w:val="32"/>
          <w:szCs w:val="32"/>
        </w:rPr>
        <w:t>2</w:t>
      </w:r>
      <w:r>
        <w:rPr>
          <w:rFonts w:hint="eastAsia" w:ascii="仿宋_GB2312" w:eastAsia="仿宋_GB2312"/>
          <w:color w:val="000000"/>
          <w:sz w:val="32"/>
          <w:szCs w:val="32"/>
        </w:rPr>
        <w:t>8日</w:t>
      </w:r>
    </w:p>
    <w:p>
      <w:pPr>
        <w:spacing w:line="580" w:lineRule="exact"/>
        <w:jc w:val="center"/>
        <w:rPr>
          <w:rFonts w:ascii="方正小标宋简体" w:hAnsi="华文中宋" w:eastAsia="方正小标宋简体"/>
          <w:sz w:val="44"/>
          <w:szCs w:val="44"/>
        </w:rPr>
      </w:pPr>
      <w:r>
        <w:rPr>
          <w:rFonts w:hint="eastAsia" w:ascii="华文中宋" w:hAnsi="华文中宋" w:eastAsia="华文中宋"/>
          <w:sz w:val="44"/>
          <w:szCs w:val="44"/>
        </w:rPr>
        <w:t xml:space="preserve">  </w:t>
      </w:r>
      <w:r>
        <w:rPr>
          <w:rFonts w:hint="eastAsia" w:ascii="方正小标宋简体" w:hAnsi="华文中宋" w:eastAsia="方正小标宋简体"/>
          <w:sz w:val="44"/>
          <w:szCs w:val="44"/>
        </w:rPr>
        <w:t>枣庄科技职业学院</w:t>
      </w:r>
    </w:p>
    <w:p>
      <w:pPr>
        <w:spacing w:line="580" w:lineRule="exact"/>
        <w:jc w:val="center"/>
        <w:rPr>
          <w:rFonts w:ascii="华文中宋" w:hAnsi="华文中宋" w:eastAsia="华文中宋"/>
          <w:sz w:val="44"/>
          <w:szCs w:val="44"/>
        </w:rPr>
      </w:pPr>
      <w:r>
        <w:rPr>
          <w:rFonts w:hint="eastAsia" w:ascii="方正小标宋简体" w:hAnsi="华文中宋" w:eastAsia="方正小标宋简体"/>
          <w:sz w:val="44"/>
          <w:szCs w:val="44"/>
        </w:rPr>
        <w:t>2020年度职能部门绩效考核办法</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ascii="仿宋_GB2312" w:hAnsi="黑体" w:eastAsia="仿宋_GB2312"/>
          <w:sz w:val="32"/>
          <w:szCs w:val="32"/>
        </w:rPr>
      </w:pPr>
      <w:r>
        <w:rPr>
          <w:rFonts w:hint="eastAsia" w:ascii="楷体" w:hAnsi="楷体" w:eastAsia="楷体" w:cs="楷体"/>
          <w:sz w:val="32"/>
          <w:szCs w:val="32"/>
        </w:rPr>
        <w:t>（试行）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根据《山东省事业单位考核委员会关于印发&lt;2020 年度省属事业单位绩效考核总体方案&gt;的通知》（鲁事考委〔2020〕1 号）、《山东省教育厅关于印发山东省高等职业院校办学质量年度考核方案（试行）的通知》（鲁教职字〔2020〕6号）精神，现就开展 2020 年度职能部门绩效考核提出以下办法。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一、考核对象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考核范围为学院各职能部门。包括办公室、纪委办公室、组织人事部、宣传部、工会、学生工作处（团委）、教务处、招生就业处、财务处、总务基建处、安全保卫处、实验实训中心、图书馆、附属医院、思政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院绩效考核牵头部门（教学督导室）不参与考核排名，考核名次由学院党委根据其工作绩效情况研究确定。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职能部门绩效考核以自然年度为考核周期。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二、考核指标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考核指标体系分为新时期党的建设质量考核指标、履行工作职责考核指标、</w:t>
      </w:r>
      <w:r>
        <w:rPr>
          <w:rFonts w:hint="eastAsia" w:ascii="仿宋_GB2312" w:eastAsia="仿宋_GB2312"/>
          <w:sz w:val="32"/>
          <w:szCs w:val="32"/>
        </w:rPr>
        <w:t>年度工作要点考核指标、</w:t>
      </w:r>
      <w:r>
        <w:rPr>
          <w:rFonts w:hint="eastAsia" w:ascii="仿宋_GB2312" w:hAnsi="黑体" w:eastAsia="仿宋_GB2312"/>
          <w:sz w:val="32"/>
          <w:szCs w:val="32"/>
        </w:rPr>
        <w:t>满意度测评、加分项与减分项五部分。总分为1</w:t>
      </w:r>
      <w:r>
        <w:rPr>
          <w:rFonts w:ascii="仿宋_GB2312" w:hAnsi="黑体" w:eastAsia="仿宋_GB2312"/>
          <w:sz w:val="32"/>
          <w:szCs w:val="32"/>
        </w:rPr>
        <w:t>00</w:t>
      </w:r>
      <w:r>
        <w:rPr>
          <w:rFonts w:hint="eastAsia" w:ascii="仿宋_GB2312" w:hAnsi="黑体" w:eastAsia="仿宋_GB2312"/>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（一）新时期党的建设质量考核指标</w:t>
      </w:r>
      <w:r>
        <w:rPr>
          <w:rFonts w:hint="eastAsia" w:ascii="楷体" w:hAnsi="楷体" w:eastAsia="楷体" w:cs="楷体"/>
          <w:sz w:val="32"/>
          <w:szCs w:val="32"/>
        </w:rPr>
        <w:t>（10%）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主要考核基层党组织党建与思政工作情况，主要包括思想政治建设、基层组织建设、作风纪律建设3个一级指标、9个二级指标</w:t>
      </w:r>
      <w:bookmarkStart w:id="1" w:name="_Hlk60987813"/>
      <w:r>
        <w:rPr>
          <w:rFonts w:hint="eastAsia" w:ascii="仿宋_GB2312" w:eastAsia="仿宋_GB2312"/>
          <w:sz w:val="32"/>
          <w:szCs w:val="32"/>
          <w:lang w:eastAsia="zh-CN"/>
        </w:rPr>
        <w:t>（</w:t>
      </w:r>
      <w:r>
        <w:rPr>
          <w:rFonts w:hint="eastAsia" w:ascii="仿宋_GB2312" w:eastAsia="仿宋_GB2312"/>
          <w:sz w:val="32"/>
          <w:szCs w:val="32"/>
          <w:lang w:val="en-US" w:eastAsia="zh-CN"/>
        </w:rPr>
        <w:t>附件1</w:t>
      </w:r>
      <w:r>
        <w:rPr>
          <w:rFonts w:hint="eastAsia" w:ascii="仿宋_GB2312" w:eastAsia="仿宋_GB2312"/>
          <w:sz w:val="32"/>
          <w:szCs w:val="32"/>
          <w:lang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sz w:val="32"/>
          <w:szCs w:val="32"/>
        </w:rPr>
        <w:t>考核评价要按照“好”“较好”“差”三个等次确定结果。</w:t>
      </w:r>
      <w:r>
        <w:rPr>
          <w:rFonts w:hint="eastAsia" w:ascii="仿宋_GB2312" w:eastAsia="仿宋_GB2312"/>
          <w:color w:val="auto"/>
          <w:sz w:val="32"/>
          <w:szCs w:val="32"/>
          <w:lang w:val="en-US" w:eastAsia="zh-CN"/>
        </w:rPr>
        <w:t>考核评价=</w:t>
      </w:r>
      <w:r>
        <w:rPr>
          <w:rFonts w:hint="eastAsia" w:ascii="仿宋_GB2312" w:eastAsia="仿宋_GB2312"/>
          <w:color w:val="auto"/>
          <w:sz w:val="32"/>
          <w:szCs w:val="32"/>
        </w:rPr>
        <w:t>“好”的个数×100%+“较好”的个数×80%+“</w:t>
      </w:r>
      <w:r>
        <w:rPr>
          <w:rFonts w:hint="eastAsia" w:ascii="仿宋_GB2312" w:eastAsia="仿宋_GB2312"/>
          <w:color w:val="auto"/>
          <w:sz w:val="32"/>
          <w:szCs w:val="32"/>
          <w:lang w:val="en-US" w:eastAsia="zh-CN"/>
        </w:rPr>
        <w:t>差</w:t>
      </w:r>
      <w:r>
        <w:rPr>
          <w:rFonts w:hint="eastAsia" w:ascii="仿宋_GB2312" w:eastAsia="仿宋_GB2312"/>
          <w:color w:val="auto"/>
          <w:sz w:val="32"/>
          <w:szCs w:val="32"/>
        </w:rPr>
        <w:t>”的个数×50%）×10</w:t>
      </w:r>
      <w:r>
        <w:rPr>
          <w:rFonts w:ascii="仿宋_GB2312" w:eastAsia="仿宋_GB2312"/>
          <w:color w:val="auto"/>
          <w:sz w:val="32"/>
          <w:szCs w:val="32"/>
        </w:rPr>
        <w:t>0</w:t>
      </w:r>
      <w:r>
        <w:rPr>
          <w:rFonts w:hint="eastAsia" w:ascii="仿宋_GB2312" w:eastAsia="仿宋_GB2312"/>
          <w:color w:val="auto"/>
          <w:sz w:val="32"/>
          <w:szCs w:val="32"/>
        </w:rPr>
        <w:t>÷评价要点个数×1</w:t>
      </w:r>
      <w:r>
        <w:rPr>
          <w:rFonts w:ascii="仿宋_GB2312" w:eastAsia="仿宋_GB2312"/>
          <w:color w:val="auto"/>
          <w:sz w:val="32"/>
          <w:szCs w:val="32"/>
        </w:rPr>
        <w:t>0%</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（二）履行工作职责考核指标</w:t>
      </w:r>
      <w:r>
        <w:rPr>
          <w:rFonts w:hint="eastAsia" w:ascii="楷体" w:hAnsi="楷体" w:eastAsia="楷体" w:cs="楷体"/>
          <w:sz w:val="32"/>
          <w:szCs w:val="32"/>
        </w:rPr>
        <w:t>（40%）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主要考核职能部门履行部门职责完成情况。职能部门各有5个一级指标、若干二级指标</w:t>
      </w:r>
      <w:r>
        <w:rPr>
          <w:rFonts w:hint="eastAsia" w:ascii="仿宋_GB2312" w:eastAsia="仿宋_GB2312"/>
          <w:sz w:val="32"/>
          <w:szCs w:val="32"/>
          <w:lang w:eastAsia="zh-CN"/>
        </w:rPr>
        <w:t>（</w:t>
      </w:r>
      <w:r>
        <w:rPr>
          <w:rFonts w:hint="eastAsia" w:ascii="仿宋_GB2312" w:eastAsia="仿宋_GB2312"/>
          <w:sz w:val="32"/>
          <w:szCs w:val="32"/>
          <w:lang w:val="en-US" w:eastAsia="zh-CN"/>
        </w:rPr>
        <w:t>附件2</w:t>
      </w:r>
      <w:r>
        <w:rPr>
          <w:rFonts w:hint="eastAsia" w:ascii="仿宋_GB2312" w:eastAsia="仿宋_GB2312"/>
          <w:sz w:val="32"/>
          <w:szCs w:val="32"/>
          <w:lang w:eastAsia="zh-CN"/>
        </w:rPr>
        <w:t>）</w:t>
      </w:r>
      <w:r>
        <w:rPr>
          <w:rFonts w:hint="eastAsia" w:ascii="仿宋_GB2312" w:eastAsia="仿宋_GB2312"/>
          <w:sz w:val="32"/>
          <w:szCs w:val="32"/>
        </w:rPr>
        <w:t>，考核要素根据职能部门职责确定。考核评价由考核组根据考核情况进行分档赋分。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（三）年度工作要点考核指标</w:t>
      </w:r>
      <w:r>
        <w:rPr>
          <w:rFonts w:hint="eastAsia" w:ascii="楷体" w:hAnsi="楷体" w:eastAsia="楷体" w:cs="楷体"/>
          <w:sz w:val="32"/>
          <w:szCs w:val="32"/>
        </w:rPr>
        <w:t>（40%）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主要考核职能部门承担的学院年度工作重点任务完成情况。考核指标依据学院《2020年度工作要点任务分解表》和《山东省教育厅办学质量年度考核任务分解表》制定</w:t>
      </w:r>
      <w:r>
        <w:rPr>
          <w:rFonts w:hint="eastAsia" w:ascii="仿宋_GB2312" w:eastAsia="仿宋_GB2312"/>
          <w:sz w:val="32"/>
          <w:szCs w:val="32"/>
          <w:lang w:eastAsia="zh-CN"/>
        </w:rPr>
        <w:t>（</w:t>
      </w:r>
      <w:r>
        <w:rPr>
          <w:rFonts w:hint="eastAsia" w:ascii="仿宋_GB2312" w:eastAsia="仿宋_GB2312"/>
          <w:sz w:val="32"/>
          <w:szCs w:val="32"/>
          <w:lang w:val="en-US" w:eastAsia="zh-CN"/>
        </w:rPr>
        <w:t>附件3</w:t>
      </w:r>
      <w:r>
        <w:rPr>
          <w:rFonts w:hint="eastAsia" w:ascii="仿宋_GB2312" w:eastAsia="仿宋_GB2312"/>
          <w:sz w:val="32"/>
          <w:szCs w:val="32"/>
          <w:lang w:eastAsia="zh-CN"/>
        </w:rPr>
        <w:t>）</w:t>
      </w:r>
      <w:r>
        <w:rPr>
          <w:rFonts w:hint="eastAsia" w:ascii="仿宋_GB2312" w:eastAsia="仿宋_GB2312"/>
          <w:sz w:val="32"/>
          <w:szCs w:val="32"/>
        </w:rPr>
        <w:t>，一年一定。年度工作要点共有4</w:t>
      </w:r>
      <w:r>
        <w:rPr>
          <w:rFonts w:ascii="仿宋_GB2312" w:eastAsia="仿宋_GB2312"/>
          <w:sz w:val="32"/>
          <w:szCs w:val="32"/>
        </w:rPr>
        <w:t>3</w:t>
      </w:r>
      <w:r>
        <w:rPr>
          <w:rFonts w:hint="eastAsia" w:ascii="仿宋_GB2312" w:eastAsia="仿宋_GB2312"/>
          <w:sz w:val="32"/>
          <w:szCs w:val="32"/>
        </w:rPr>
        <w:t>个一级指标，按分工对各个职能部门进行考核评价。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sz w:val="32"/>
          <w:szCs w:val="32"/>
        </w:rPr>
        <w:t>考核评价要按照“好”“较好”“差”三个等次确定结果。</w:t>
      </w:r>
      <w:r>
        <w:rPr>
          <w:rFonts w:hint="eastAsia" w:ascii="仿宋_GB2312" w:eastAsia="仿宋_GB2312"/>
          <w:color w:val="auto"/>
          <w:sz w:val="32"/>
          <w:szCs w:val="32"/>
          <w:lang w:val="en-US" w:eastAsia="zh-CN"/>
        </w:rPr>
        <w:t>考核评价</w:t>
      </w:r>
      <w:r>
        <w:rPr>
          <w:rFonts w:hint="eastAsia" w:ascii="仿宋_GB2312" w:eastAsia="仿宋_GB2312"/>
          <w:color w:val="auto"/>
          <w:sz w:val="32"/>
          <w:szCs w:val="32"/>
        </w:rPr>
        <w:t>=（“好”的个数×100%+“较好”的个数×80%+“差”的个数×50%）</w:t>
      </w:r>
      <w:bookmarkStart w:id="2" w:name="_Hlk60988262"/>
      <w:r>
        <w:rPr>
          <w:rFonts w:hint="eastAsia" w:ascii="仿宋_GB2312" w:eastAsia="仿宋_GB2312"/>
          <w:color w:val="auto"/>
          <w:sz w:val="32"/>
          <w:szCs w:val="32"/>
        </w:rPr>
        <w:t>×</w:t>
      </w:r>
      <w:bookmarkEnd w:id="2"/>
      <w:r>
        <w:rPr>
          <w:rFonts w:hint="eastAsia" w:ascii="仿宋_GB2312" w:eastAsia="仿宋_GB2312"/>
          <w:color w:val="auto"/>
          <w:sz w:val="32"/>
          <w:szCs w:val="32"/>
        </w:rPr>
        <w:t>100÷评价要点个数×4</w:t>
      </w:r>
      <w:r>
        <w:rPr>
          <w:rFonts w:ascii="仿宋_GB2312" w:eastAsia="仿宋_GB2312"/>
          <w:color w:val="auto"/>
          <w:sz w:val="32"/>
          <w:szCs w:val="32"/>
        </w:rPr>
        <w:t>0%</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（四）满意度测评</w:t>
      </w:r>
      <w:r>
        <w:rPr>
          <w:rFonts w:hint="eastAsia" w:ascii="楷体" w:hAnsi="楷体" w:eastAsia="楷体" w:cs="楷体"/>
          <w:sz w:val="32"/>
          <w:szCs w:val="32"/>
        </w:rPr>
        <w:t>（10%）。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满意度测评采用民主测评方式,包括领导测评、部门间互评</w:t>
      </w:r>
      <w:r>
        <w:rPr>
          <w:rFonts w:hint="eastAsia" w:ascii="仿宋_GB2312" w:eastAsia="仿宋_GB2312"/>
          <w:sz w:val="32"/>
          <w:szCs w:val="32"/>
          <w:lang w:eastAsia="zh-CN"/>
        </w:rPr>
        <w:t>（</w:t>
      </w:r>
      <w:r>
        <w:rPr>
          <w:rFonts w:hint="eastAsia" w:ascii="仿宋_GB2312" w:eastAsia="仿宋_GB2312"/>
          <w:sz w:val="32"/>
          <w:szCs w:val="32"/>
          <w:lang w:val="en-US" w:eastAsia="zh-CN"/>
        </w:rPr>
        <w:t>附件5</w:t>
      </w:r>
      <w:r>
        <w:rPr>
          <w:rFonts w:hint="eastAsia" w:ascii="仿宋_GB2312" w:eastAsia="仿宋_GB2312"/>
          <w:sz w:val="32"/>
          <w:szCs w:val="32"/>
          <w:lang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楷体" w:hAnsi="楷体" w:eastAsia="楷体" w:cs="楷体"/>
          <w:b/>
          <w:bCs/>
          <w:sz w:val="32"/>
          <w:szCs w:val="32"/>
        </w:rPr>
      </w:pPr>
      <w:r>
        <w:rPr>
          <w:rFonts w:hint="eastAsia" w:ascii="楷体" w:hAnsi="楷体" w:eastAsia="楷体" w:cs="楷体"/>
          <w:b/>
          <w:bCs/>
          <w:sz w:val="32"/>
          <w:szCs w:val="32"/>
        </w:rPr>
        <w:t>（五）加分项与减分项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增设加分项与减分项</w:t>
      </w:r>
      <w:r>
        <w:rPr>
          <w:rFonts w:hint="eastAsia" w:ascii="仿宋_GB2312" w:eastAsia="仿宋_GB2312"/>
          <w:sz w:val="32"/>
          <w:szCs w:val="32"/>
          <w:lang w:eastAsia="zh-CN"/>
        </w:rPr>
        <w:t>（</w:t>
      </w:r>
      <w:r>
        <w:rPr>
          <w:rFonts w:hint="eastAsia" w:ascii="仿宋_GB2312" w:eastAsia="仿宋_GB2312"/>
          <w:sz w:val="32"/>
          <w:szCs w:val="32"/>
          <w:lang w:val="en-US" w:eastAsia="zh-CN"/>
        </w:rPr>
        <w:t>附件4</w:t>
      </w:r>
      <w:r>
        <w:rPr>
          <w:rFonts w:hint="eastAsia" w:ascii="仿宋_GB2312" w:eastAsia="仿宋_GB2312"/>
          <w:sz w:val="32"/>
          <w:szCs w:val="32"/>
          <w:lang w:eastAsia="zh-CN"/>
        </w:rPr>
        <w:t>）</w:t>
      </w:r>
      <w:r>
        <w:rPr>
          <w:rFonts w:hint="eastAsia" w:ascii="仿宋_GB2312" w:eastAsia="仿宋_GB2312"/>
          <w:sz w:val="32"/>
          <w:szCs w:val="32"/>
        </w:rPr>
        <w:t>。对获得省级以上奖励等方面做出突出贡献的职能部门酌情加分，最多加</w:t>
      </w:r>
      <w:r>
        <w:rPr>
          <w:rFonts w:ascii="仿宋_GB2312" w:eastAsia="仿宋_GB2312"/>
          <w:sz w:val="32"/>
          <w:szCs w:val="32"/>
        </w:rPr>
        <w:t>2</w:t>
      </w:r>
      <w:r>
        <w:rPr>
          <w:rFonts w:hint="eastAsia" w:ascii="仿宋_GB2312" w:eastAsia="仿宋_GB2312"/>
          <w:sz w:val="32"/>
          <w:szCs w:val="32"/>
        </w:rPr>
        <w:t>0分；对在党风廉政、意识形态、师德师风、履行职责等方面出现重大失误或严重问题的职能部门进行酌情减分，最多减</w:t>
      </w:r>
      <w:r>
        <w:rPr>
          <w:rFonts w:ascii="仿宋_GB2312" w:eastAsia="仿宋_GB2312"/>
          <w:sz w:val="32"/>
          <w:szCs w:val="32"/>
        </w:rPr>
        <w:t>2</w:t>
      </w:r>
      <w:r>
        <w:rPr>
          <w:rFonts w:hint="eastAsia" w:ascii="仿宋_GB2312" w:eastAsia="仿宋_GB2312"/>
          <w:sz w:val="32"/>
          <w:szCs w:val="32"/>
        </w:rPr>
        <w:t>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三、考核程序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sz w:val="32"/>
          <w:szCs w:val="32"/>
        </w:rPr>
        <w:t>（一）考核组织。成立职能部门绩效考核工作组，在学院绩效考核领导小组的领导下开展考核工作。分管组织人事的副院长任组</w:t>
      </w:r>
      <w:r>
        <w:rPr>
          <w:rFonts w:hint="eastAsia" w:ascii="仿宋_GB2312" w:hAnsi="黑体" w:eastAsia="仿宋_GB2312"/>
          <w:color w:val="auto"/>
          <w:sz w:val="32"/>
          <w:szCs w:val="32"/>
        </w:rPr>
        <w:t>长，</w:t>
      </w:r>
      <w:r>
        <w:rPr>
          <w:rFonts w:hint="eastAsia" w:ascii="仿宋_GB2312" w:hAnsi="黑体" w:eastAsia="仿宋_GB2312"/>
          <w:color w:val="auto"/>
          <w:sz w:val="32"/>
          <w:szCs w:val="32"/>
          <w:lang w:val="en-US" w:eastAsia="zh-CN"/>
        </w:rPr>
        <w:t>组织人事部部长、</w:t>
      </w:r>
      <w:r>
        <w:rPr>
          <w:rFonts w:hint="eastAsia" w:ascii="仿宋_GB2312" w:hAnsi="黑体" w:eastAsia="仿宋_GB2312"/>
          <w:color w:val="auto"/>
          <w:sz w:val="32"/>
          <w:szCs w:val="32"/>
        </w:rPr>
        <w:t>教学督导室主任任副组长，教学部门主要负责人任成员，绩效考核办公室人员为秘书。同时，成立考核督查工作组，由纪委办公室负责。考核督查工作组负责学院各工作组绩效考核工作的规范性，受理教职工的申诉、检举，处理有关违纪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（二）开展自评。各职能部门根据考核办法及指标体系，进行自我评估，形成自评报告，提报考核材料。自评材料经处室负责人签字后，报绩效考核办公室</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教学督导室</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（三）组织评价。职能部门绩效考核组根据自评情况对职能部门进行网络考核、评分（必要时可具体细化相应的考核指标），视情况进行实地考察。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四）汇总计分。职能部门绩效考核工作组汇总各指标的考核评分，根据定性评价、定量赋分结果进行分数统计，并提出各职能部门的年度考核等次，报学院绩效考核工作领导小组审定后，经学院党委会研究确定，向各部门通报考核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(五)考核结果分为A、B、C三个档次。（A档为前2</w:t>
      </w: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，B档</w:t>
      </w:r>
      <w:r>
        <w:rPr>
          <w:rFonts w:hint="eastAsia" w:ascii="仿宋_GB2312" w:eastAsia="仿宋_GB2312"/>
          <w:color w:val="auto"/>
          <w:sz w:val="32"/>
          <w:szCs w:val="32"/>
          <w:lang w:val="en-US" w:eastAsia="zh-CN"/>
        </w:rPr>
        <w:t>为前26</w:t>
      </w:r>
      <w:r>
        <w:rPr>
          <w:rFonts w:ascii="仿宋_GB2312" w:eastAsia="仿宋_GB2312"/>
          <w:color w:val="auto"/>
          <w:sz w:val="32"/>
          <w:szCs w:val="32"/>
        </w:rPr>
        <w:t>%</w:t>
      </w:r>
      <w:r>
        <w:rPr>
          <w:rFonts w:hint="eastAsia" w:ascii="仿宋_GB2312" w:eastAsia="仿宋_GB2312"/>
          <w:color w:val="auto"/>
          <w:sz w:val="32"/>
          <w:szCs w:val="32"/>
        </w:rPr>
        <w:t>～7</w:t>
      </w:r>
      <w:r>
        <w:rPr>
          <w:rFonts w:ascii="仿宋_GB2312" w:eastAsia="仿宋_GB2312"/>
          <w:color w:val="auto"/>
          <w:sz w:val="32"/>
          <w:szCs w:val="32"/>
        </w:rPr>
        <w:t>0%</w:t>
      </w:r>
      <w:r>
        <w:rPr>
          <w:rFonts w:hint="eastAsia" w:ascii="仿宋_GB2312" w:eastAsia="仿宋_GB2312"/>
          <w:color w:val="auto"/>
          <w:sz w:val="32"/>
          <w:szCs w:val="32"/>
        </w:rPr>
        <w:t>，以下为C档）。有“不得确定为优秀等次事项”</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附件6</w:t>
      </w:r>
      <w:r>
        <w:rPr>
          <w:rFonts w:hint="eastAsia" w:ascii="仿宋_GB2312" w:eastAsia="仿宋_GB2312"/>
          <w:color w:val="auto"/>
          <w:sz w:val="32"/>
          <w:szCs w:val="32"/>
          <w:lang w:eastAsia="zh-CN"/>
        </w:rPr>
        <w:t>）</w:t>
      </w:r>
      <w:r>
        <w:rPr>
          <w:rFonts w:hint="eastAsia" w:ascii="仿宋_GB2312" w:eastAsia="仿宋_GB2312"/>
          <w:color w:val="auto"/>
          <w:sz w:val="32"/>
          <w:szCs w:val="32"/>
        </w:rPr>
        <w:t>的职能部门最高为B档，有“直接确定为较差等次事项”</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附件6</w:t>
      </w:r>
      <w:r>
        <w:rPr>
          <w:rFonts w:hint="eastAsia" w:ascii="仿宋_GB2312" w:eastAsia="仿宋_GB2312"/>
          <w:color w:val="auto"/>
          <w:sz w:val="32"/>
          <w:szCs w:val="32"/>
          <w:lang w:eastAsia="zh-CN"/>
        </w:rPr>
        <w:t>）</w:t>
      </w:r>
      <w:r>
        <w:rPr>
          <w:rFonts w:hint="eastAsia" w:ascii="仿宋_GB2312" w:eastAsia="仿宋_GB2312"/>
          <w:color w:val="auto"/>
          <w:sz w:val="32"/>
          <w:szCs w:val="32"/>
        </w:rPr>
        <w:t>的部门为Ｃ档。考核结果经公示无异议后公布。</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黑体" w:hAnsi="黑体" w:eastAsia="黑体"/>
          <w:color w:val="auto"/>
          <w:sz w:val="32"/>
          <w:szCs w:val="32"/>
        </w:rPr>
      </w:pPr>
      <w:r>
        <w:rPr>
          <w:rFonts w:hint="eastAsia" w:ascii="黑体" w:hAnsi="黑体" w:eastAsia="黑体"/>
          <w:color w:val="auto"/>
          <w:sz w:val="32"/>
          <w:szCs w:val="32"/>
        </w:rPr>
        <w:t>四、考核结果使用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（一）考核结果作为集体表彰的评选依据。根据考核结果在学院范围内通报考评结果，设立职能部门绩效考核奖，对优秀部门予以表彰</w:t>
      </w:r>
      <w:r>
        <w:rPr>
          <w:rFonts w:hint="eastAsia" w:ascii="仿宋_GB2312" w:hAnsi="黑体" w:eastAsia="仿宋_GB2312"/>
          <w:color w:val="auto"/>
          <w:sz w:val="32"/>
          <w:szCs w:val="32"/>
          <w:lang w:val="en-US" w:eastAsia="zh-CN"/>
        </w:rPr>
        <w:t>奖励</w:t>
      </w:r>
      <w:r>
        <w:rPr>
          <w:rFonts w:hint="eastAsia" w:ascii="仿宋_GB2312" w:hAnsi="黑体" w:eastAsia="仿宋_GB2312"/>
          <w:color w:val="auto"/>
          <w:sz w:val="32"/>
          <w:szCs w:val="32"/>
        </w:rPr>
        <w:t>，奖励办法由党委研究决定。获奖职能部门直接认定为“学院先进部门”。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二）考核结果作为干部选拔任用的重要依据。连续两年考核被确定为一等奖的职能部门，组织部门对在选拔任用干部时可作为参考依据。连续三年考核排名最后的职能部门主要负责人，组织部门可对其进行训诫或调整，对当年度排名末位次的职能部门主要负责人进行约谈，责成进行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（三）考核结果与教职工年度考核评奖挂钩。考核末位的部门主要负责人当年度考核不得确定为“优秀”等次。对考核排名第一的部门增加1人年度考核“优秀”；排名末位的部门减少1人年度考核“优秀”。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（一）学院各职能部门要高度重视绩效考核工作，增强大局意识、责任意识和配合意识，统筹力量完成好考核任务，引导各方面把精力真正放到干事创业、促进发展上来。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考核组要严格遵守各项党风廉政纪律和工作纪律，严禁任何组织和个人以任何形式干扰考核，严禁弄虚作假、徇私舞弊。要提升考核质量，严把数据关口，精准实施考核，确保结果经得起推敲、数据经得起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（三）要严格按照本办法规定和程序组织实施考核，严禁擅自变通，严禁干扰部门日常工作。对违反考核工作纪律的部门和个人，按照有关规定严肃追究责任。</w:t>
      </w:r>
    </w:p>
    <w:p>
      <w:pPr>
        <w:keepNext w:val="0"/>
        <w:keepLines w:val="0"/>
        <w:pageBreakBefore w:val="0"/>
        <w:widowControl w:val="0"/>
        <w:kinsoku/>
        <w:wordWrap/>
        <w:overflowPunct/>
        <w:topLinePunct w:val="0"/>
        <w:autoSpaceDE/>
        <w:autoSpaceDN/>
        <w:bidi w:val="0"/>
        <w:adjustRightInd/>
        <w:snapToGrid/>
        <w:spacing w:line="560" w:lineRule="exact"/>
        <w:ind w:left="315" w:leftChars="150" w:firstLine="160" w:firstLineChars="50"/>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15" w:leftChars="150" w:firstLine="320" w:firstLineChars="100"/>
        <w:textAlignment w:val="auto"/>
        <w:rPr>
          <w:rFonts w:ascii="仿宋_GB2312" w:eastAsia="仿宋_GB2312"/>
          <w:color w:val="auto"/>
          <w:sz w:val="32"/>
          <w:szCs w:val="32"/>
        </w:rPr>
      </w:pPr>
      <w:r>
        <w:rPr>
          <w:rFonts w:hint="eastAsia" w:ascii="仿宋_GB2312" w:eastAsia="仿宋_GB2312"/>
          <w:color w:val="auto"/>
          <w:sz w:val="32"/>
          <w:szCs w:val="32"/>
        </w:rPr>
        <w:t>附件：1.职能部门新时期党的建设质量</w:t>
      </w:r>
      <w:r>
        <w:rPr>
          <w:rFonts w:hint="eastAsia" w:ascii="仿宋_GB2312" w:eastAsia="仿宋_GB2312"/>
          <w:color w:val="auto"/>
          <w:sz w:val="32"/>
          <w:szCs w:val="32"/>
          <w:lang w:val="en-US" w:eastAsia="zh-CN"/>
        </w:rPr>
        <w:t>考核</w:t>
      </w:r>
      <w:r>
        <w:rPr>
          <w:rFonts w:hint="eastAsia" w:ascii="仿宋_GB2312" w:eastAsia="仿宋_GB2312"/>
          <w:color w:val="auto"/>
          <w:sz w:val="32"/>
          <w:szCs w:val="32"/>
        </w:rPr>
        <w:t>指标</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职能部门履行工作职责考核指标</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.职能部门年度工作要点考核指标</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.职能部门加分项与减分项指标</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5.职能部门民主测评表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en-US" w:eastAsia="zh-CN"/>
        </w:rPr>
        <w:t>6.职能部门</w:t>
      </w:r>
      <w:r>
        <w:rPr>
          <w:rFonts w:hint="eastAsia" w:ascii="仿宋_GB2312" w:eastAsia="仿宋_GB2312"/>
          <w:color w:val="auto"/>
          <w:sz w:val="32"/>
          <w:szCs w:val="32"/>
          <w:lang w:val="zh-CN"/>
        </w:rPr>
        <w:t>不得确定为优秀等次事项和直接确</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zh-CN"/>
        </w:rPr>
        <w:t>定为较差等次事项</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ascii="仿宋_GB2312" w:eastAsia="仿宋_GB2312"/>
          <w:color w:val="auto"/>
          <w:sz w:val="32"/>
          <w:szCs w:val="32"/>
        </w:rPr>
      </w:pPr>
      <w:r>
        <w:rPr>
          <w:rFonts w:hint="eastAsia" w:ascii="仿宋_GB2312" w:eastAsia="仿宋_GB2312"/>
          <w:color w:val="auto"/>
          <w:sz w:val="32"/>
          <w:szCs w:val="32"/>
        </w:rPr>
        <w:t>枣庄科技职业学院</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eastAsia="仿宋_GB2312"/>
          <w:color w:val="auto"/>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eastAsia="仿宋_GB2312"/>
          <w:color w:val="auto"/>
          <w:sz w:val="32"/>
          <w:szCs w:val="32"/>
        </w:rPr>
        <w:t>2020年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黑体" w:hAnsi="黑体" w:eastAsia="黑体"/>
          <w:b w:val="0"/>
          <w:bCs/>
          <w:sz w:val="32"/>
          <w:szCs w:val="32"/>
        </w:rPr>
      </w:pPr>
      <w:r>
        <w:rPr>
          <w:rFonts w:hint="eastAsia" w:ascii="黑体" w:hAnsi="黑体" w:eastAsia="黑体"/>
          <w:b w:val="0"/>
          <w:bCs/>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_GBK" w:eastAsia="方正小标宋简体" w:cs="方正小标宋_GBK"/>
          <w:bCs/>
          <w:color w:val="000000"/>
          <w:kern w:val="0"/>
          <w:sz w:val="44"/>
          <w:szCs w:val="44"/>
        </w:rPr>
      </w:pPr>
      <w:r>
        <w:rPr>
          <w:rFonts w:hint="eastAsia" w:ascii="方正小标宋简体" w:hAnsi="方正小标宋_GBK" w:eastAsia="方正小标宋简体" w:cs="方正小标宋_GBK"/>
          <w:bCs/>
          <w:color w:val="000000"/>
          <w:kern w:val="0"/>
          <w:sz w:val="44"/>
          <w:szCs w:val="44"/>
        </w:rPr>
        <w:t>职能部门新时期党的建设质量指标</w:t>
      </w:r>
    </w:p>
    <w:p>
      <w:pPr>
        <w:pStyle w:val="2"/>
        <w:rPr>
          <w:sz w:val="24"/>
        </w:rPr>
      </w:pPr>
    </w:p>
    <w:tbl>
      <w:tblPr>
        <w:tblStyle w:val="7"/>
        <w:tblW w:w="14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238"/>
        <w:gridCol w:w="1821"/>
        <w:gridCol w:w="7572"/>
        <w:gridCol w:w="1838"/>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24" w:hRule="atLeast"/>
          <w:tblHeader/>
          <w:jc w:val="center"/>
        </w:trPr>
        <w:tc>
          <w:tcPr>
            <w:tcW w:w="1238" w:type="dxa"/>
            <w:vAlign w:val="center"/>
          </w:tcPr>
          <w:p>
            <w:pPr>
              <w:adjustRightInd w:val="0"/>
              <w:snapToGrid w:val="0"/>
              <w:spacing w:line="300" w:lineRule="exact"/>
              <w:jc w:val="center"/>
              <w:rPr>
                <w:rFonts w:eastAsia="黑体"/>
                <w:color w:val="000000"/>
              </w:rPr>
            </w:pPr>
            <w:r>
              <w:rPr>
                <w:rFonts w:hint="eastAsia" w:eastAsia="黑体" w:cs="黑体"/>
                <w:color w:val="000000"/>
              </w:rPr>
              <w:t>一级指标</w:t>
            </w:r>
          </w:p>
        </w:tc>
        <w:tc>
          <w:tcPr>
            <w:tcW w:w="1821" w:type="dxa"/>
            <w:vAlign w:val="center"/>
          </w:tcPr>
          <w:p>
            <w:pPr>
              <w:adjustRightInd w:val="0"/>
              <w:snapToGrid w:val="0"/>
              <w:spacing w:line="300" w:lineRule="exact"/>
              <w:jc w:val="center"/>
              <w:rPr>
                <w:rFonts w:eastAsia="黑体"/>
                <w:color w:val="000000"/>
              </w:rPr>
            </w:pPr>
            <w:r>
              <w:rPr>
                <w:rFonts w:hint="eastAsia" w:eastAsia="黑体"/>
                <w:color w:val="000000"/>
              </w:rPr>
              <w:t>二级指标</w:t>
            </w:r>
          </w:p>
        </w:tc>
        <w:tc>
          <w:tcPr>
            <w:tcW w:w="7572" w:type="dxa"/>
            <w:vAlign w:val="center"/>
          </w:tcPr>
          <w:p>
            <w:pPr>
              <w:adjustRightInd w:val="0"/>
              <w:snapToGrid w:val="0"/>
              <w:spacing w:line="300" w:lineRule="exact"/>
              <w:jc w:val="center"/>
              <w:rPr>
                <w:rFonts w:eastAsia="黑体"/>
                <w:color w:val="000000"/>
              </w:rPr>
            </w:pPr>
            <w:r>
              <w:rPr>
                <w:rFonts w:hint="eastAsia" w:eastAsia="黑体" w:cs="黑体"/>
                <w:color w:val="000000"/>
              </w:rPr>
              <w:t>考核要点</w:t>
            </w:r>
          </w:p>
        </w:tc>
        <w:tc>
          <w:tcPr>
            <w:tcW w:w="1838" w:type="dxa"/>
            <w:vAlign w:val="center"/>
          </w:tcPr>
          <w:p>
            <w:pPr>
              <w:adjustRightInd w:val="0"/>
              <w:snapToGrid w:val="0"/>
              <w:spacing w:line="300" w:lineRule="exact"/>
              <w:jc w:val="center"/>
              <w:rPr>
                <w:rFonts w:ascii="黑体" w:hAnsi="黑体" w:eastAsia="黑体"/>
                <w:color w:val="000000"/>
              </w:rPr>
            </w:pPr>
            <w:r>
              <w:rPr>
                <w:rFonts w:hint="eastAsia" w:ascii="黑体" w:hAnsi="黑体" w:eastAsia="黑体"/>
                <w:color w:val="000000"/>
              </w:rPr>
              <w:t>考核评价</w:t>
            </w:r>
          </w:p>
          <w:p>
            <w:pPr>
              <w:adjustRightInd w:val="0"/>
              <w:snapToGrid w:val="0"/>
              <w:spacing w:line="300" w:lineRule="exact"/>
              <w:jc w:val="center"/>
              <w:rPr>
                <w:rFonts w:ascii="黑体" w:hAnsi="黑体" w:eastAsia="黑体"/>
                <w:color w:val="000000"/>
              </w:rPr>
            </w:pPr>
            <w:r>
              <w:rPr>
                <w:rFonts w:hint="eastAsia" w:ascii="黑体" w:hAnsi="黑体" w:eastAsia="黑体"/>
                <w:color w:val="000000"/>
              </w:rPr>
              <w:t>标准</w:t>
            </w:r>
          </w:p>
        </w:tc>
        <w:tc>
          <w:tcPr>
            <w:tcW w:w="1630" w:type="dxa"/>
            <w:vAlign w:val="center"/>
          </w:tcPr>
          <w:p>
            <w:pPr>
              <w:adjustRightInd w:val="0"/>
              <w:snapToGrid w:val="0"/>
              <w:spacing w:line="300" w:lineRule="exact"/>
              <w:jc w:val="center"/>
              <w:rPr>
                <w:rFonts w:ascii="黑体" w:hAnsi="黑体" w:eastAsia="黑体" w:cs="黑体"/>
                <w:color w:val="000000"/>
              </w:rPr>
            </w:pPr>
            <w:r>
              <w:rPr>
                <w:rFonts w:hint="eastAsia" w:ascii="黑体" w:hAnsi="黑体" w:eastAsia="黑体" w:cs="黑体"/>
                <w:color w:val="000000"/>
              </w:rPr>
              <w:t>考核责任</w:t>
            </w:r>
          </w:p>
          <w:p>
            <w:pPr>
              <w:adjustRightInd w:val="0"/>
              <w:snapToGrid w:val="0"/>
              <w:spacing w:line="300" w:lineRule="exact"/>
              <w:jc w:val="center"/>
              <w:rPr>
                <w:rFonts w:eastAsia="黑体"/>
                <w:color w:val="000000"/>
              </w:rPr>
            </w:pPr>
            <w:r>
              <w:rPr>
                <w:rFonts w:hint="eastAsia" w:ascii="黑体" w:hAnsi="黑体" w:eastAsia="黑体" w:cs="黑体"/>
                <w:color w:val="00000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88" w:hRule="atLeast"/>
          <w:jc w:val="center"/>
        </w:trPr>
        <w:tc>
          <w:tcPr>
            <w:tcW w:w="1238" w:type="dxa"/>
            <w:vMerge w:val="restart"/>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思想政治建设</w:t>
            </w:r>
          </w:p>
        </w:tc>
        <w:tc>
          <w:tcPr>
            <w:tcW w:w="1821"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政治理论学习</w:t>
            </w:r>
          </w:p>
        </w:tc>
        <w:tc>
          <w:tcPr>
            <w:tcW w:w="7572" w:type="dxa"/>
            <w:vAlign w:val="center"/>
          </w:tcPr>
          <w:p>
            <w:pPr>
              <w:rPr>
                <w:rFonts w:ascii="仿宋_GB2312" w:eastAsia="仿宋_GB2312"/>
                <w:sz w:val="21"/>
                <w:szCs w:val="21"/>
              </w:rPr>
            </w:pPr>
            <w:r>
              <w:rPr>
                <w:rFonts w:hint="eastAsia" w:ascii="仿宋_GB2312" w:hAnsi="Times New Roman" w:eastAsia="仿宋_GB2312" w:cstheme="minorBidi"/>
                <w:kern w:val="2"/>
                <w:sz w:val="21"/>
                <w:szCs w:val="21"/>
                <w:lang w:val="en-US" w:eastAsia="zh-CN" w:bidi="ar-SA"/>
              </w:rPr>
              <w:t>深入学习贯彻习近平新时代中国特色社会主义思想和党的十九届五中全会精神，树牢“四个意识”，坚定“四个自信”，做到“两个维护”。落实理论学习中心组等学习制度，有计划有总结，档案资料齐全。</w:t>
            </w:r>
          </w:p>
        </w:tc>
        <w:tc>
          <w:tcPr>
            <w:tcW w:w="1838" w:type="dxa"/>
            <w:vMerge w:val="restart"/>
            <w:vAlign w:val="center"/>
          </w:tcPr>
          <w:p>
            <w:pPr>
              <w:adjustRightInd w:val="0"/>
              <w:snapToGrid w:val="0"/>
              <w:spacing w:line="280" w:lineRule="exact"/>
              <w:jc w:val="left"/>
              <w:rPr>
                <w:rFonts w:ascii="仿宋_GB2312" w:eastAsia="仿宋_GB2312"/>
                <w:sz w:val="21"/>
                <w:szCs w:val="21"/>
              </w:rPr>
            </w:pPr>
            <w:r>
              <w:rPr>
                <w:rFonts w:hint="eastAsia" w:ascii="仿宋_GB2312" w:eastAsia="仿宋_GB2312"/>
                <w:sz w:val="21"/>
                <w:szCs w:val="21"/>
              </w:rPr>
              <w:t>落实到位、措施得力、成效明显的，为“好”；落实比较到位、措施比较得力、成效比较明显的，为“较好”；落实</w:t>
            </w:r>
            <w:r>
              <w:rPr>
                <w:rFonts w:hint="eastAsia" w:ascii="仿宋_GB2312" w:eastAsia="仿宋_GB2312"/>
                <w:sz w:val="21"/>
                <w:szCs w:val="21"/>
                <w:lang w:val="en-US" w:eastAsia="zh-CN"/>
              </w:rPr>
              <w:t>不到</w:t>
            </w:r>
            <w:r>
              <w:rPr>
                <w:rFonts w:hint="eastAsia" w:ascii="仿宋_GB2312" w:eastAsia="仿宋_GB2312"/>
                <w:sz w:val="21"/>
                <w:szCs w:val="21"/>
              </w:rPr>
              <w:t>位、措施</w:t>
            </w:r>
            <w:r>
              <w:rPr>
                <w:rFonts w:hint="eastAsia" w:ascii="仿宋_GB2312" w:eastAsia="仿宋_GB2312"/>
                <w:sz w:val="21"/>
                <w:szCs w:val="21"/>
                <w:lang w:val="en-US" w:eastAsia="zh-CN"/>
              </w:rPr>
              <w:t>不</w:t>
            </w:r>
            <w:r>
              <w:rPr>
                <w:rFonts w:hint="eastAsia" w:ascii="仿宋_GB2312" w:eastAsia="仿宋_GB2312"/>
                <w:sz w:val="21"/>
                <w:szCs w:val="21"/>
              </w:rPr>
              <w:t>得力、成效</w:t>
            </w:r>
            <w:r>
              <w:rPr>
                <w:rFonts w:hint="eastAsia" w:ascii="仿宋_GB2312" w:eastAsia="仿宋_GB2312"/>
                <w:sz w:val="21"/>
                <w:szCs w:val="21"/>
                <w:lang w:val="en-US" w:eastAsia="zh-CN"/>
              </w:rPr>
              <w:t>不</w:t>
            </w:r>
            <w:r>
              <w:rPr>
                <w:rFonts w:hint="eastAsia" w:ascii="仿宋_GB2312" w:eastAsia="仿宋_GB2312"/>
                <w:sz w:val="21"/>
                <w:szCs w:val="21"/>
              </w:rPr>
              <w:t>明显的，为“</w:t>
            </w:r>
            <w:r>
              <w:rPr>
                <w:rFonts w:hint="eastAsia" w:ascii="仿宋_GB2312" w:eastAsia="仿宋_GB2312"/>
                <w:sz w:val="21"/>
                <w:szCs w:val="21"/>
                <w:lang w:val="en-US" w:eastAsia="zh-CN"/>
              </w:rPr>
              <w:t>差</w:t>
            </w:r>
            <w:r>
              <w:rPr>
                <w:rFonts w:hint="eastAsia" w:ascii="仿宋_GB2312" w:eastAsia="仿宋_GB2312"/>
                <w:sz w:val="21"/>
                <w:szCs w:val="21"/>
              </w:rPr>
              <w:t>”。</w:t>
            </w:r>
          </w:p>
        </w:tc>
        <w:tc>
          <w:tcPr>
            <w:tcW w:w="1630" w:type="dxa"/>
            <w:vAlign w:val="center"/>
          </w:tcPr>
          <w:p>
            <w:pPr>
              <w:jc w:val="center"/>
            </w:pPr>
            <w:r>
              <w:rPr>
                <w:rFonts w:hint="eastAsia"/>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59" w:hRule="atLeast"/>
          <w:jc w:val="center"/>
        </w:trPr>
        <w:tc>
          <w:tcPr>
            <w:tcW w:w="1238" w:type="dxa"/>
            <w:vMerge w:val="continue"/>
            <w:vAlign w:val="center"/>
          </w:tcPr>
          <w:p>
            <w:pPr>
              <w:jc w:val="center"/>
              <w:rPr>
                <w:rFonts w:asciiTheme="minorEastAsia" w:hAnsiTheme="minorEastAsia" w:eastAsiaTheme="minorEastAsia" w:cstheme="minorEastAsia"/>
              </w:rPr>
            </w:pPr>
          </w:p>
        </w:tc>
        <w:tc>
          <w:tcPr>
            <w:tcW w:w="1821"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意识形态工作</w:t>
            </w:r>
          </w:p>
        </w:tc>
        <w:tc>
          <w:tcPr>
            <w:tcW w:w="7572" w:type="dxa"/>
            <w:vAlign w:val="center"/>
          </w:tcPr>
          <w:p>
            <w:pPr>
              <w:pStyle w:val="2"/>
              <w:rPr>
                <w:rFonts w:ascii="仿宋_GB2312" w:eastAsia="仿宋_GB2312"/>
                <w:sz w:val="21"/>
                <w:szCs w:val="21"/>
              </w:rPr>
            </w:pPr>
            <w:r>
              <w:rPr>
                <w:rFonts w:hint="eastAsia" w:ascii="仿宋_GB2312" w:eastAsia="仿宋_GB2312"/>
                <w:sz w:val="21"/>
                <w:szCs w:val="21"/>
              </w:rPr>
              <w:t>落实意识形态工作责任制，每学期至少召开一次意识形态工作专题研究会议。加强各类思想文化阵地建设和管理，严格重大问题政治把关。开展宗教信仰排查，抵御境外利用宗教渗透，加强防范校园传教信息员队伍建设。</w:t>
            </w:r>
          </w:p>
        </w:tc>
        <w:tc>
          <w:tcPr>
            <w:tcW w:w="1838" w:type="dxa"/>
            <w:vMerge w:val="continue"/>
            <w:vAlign w:val="center"/>
          </w:tcPr>
          <w:p>
            <w:pPr>
              <w:adjustRightInd w:val="0"/>
              <w:snapToGrid w:val="0"/>
              <w:spacing w:line="280" w:lineRule="exact"/>
              <w:jc w:val="center"/>
              <w:rPr>
                <w:sz w:val="21"/>
                <w:szCs w:val="21"/>
              </w:rPr>
            </w:pPr>
          </w:p>
        </w:tc>
        <w:tc>
          <w:tcPr>
            <w:tcW w:w="1630" w:type="dxa"/>
            <w:vAlign w:val="center"/>
          </w:tcPr>
          <w:p>
            <w:pPr>
              <w:jc w:val="center"/>
            </w:pPr>
            <w:r>
              <w:rPr>
                <w:rFonts w:hint="eastAsia"/>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1238" w:type="dxa"/>
            <w:vMerge w:val="continue"/>
            <w:vAlign w:val="center"/>
          </w:tcPr>
          <w:p>
            <w:pPr>
              <w:jc w:val="center"/>
              <w:rPr>
                <w:rFonts w:asciiTheme="minorEastAsia" w:hAnsiTheme="minorEastAsia" w:eastAsiaTheme="minorEastAsia" w:cstheme="minorEastAsia"/>
              </w:rPr>
            </w:pPr>
          </w:p>
        </w:tc>
        <w:tc>
          <w:tcPr>
            <w:tcW w:w="1821"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宣传文明建设</w:t>
            </w:r>
          </w:p>
        </w:tc>
        <w:tc>
          <w:tcPr>
            <w:tcW w:w="7572" w:type="dxa"/>
            <w:vAlign w:val="center"/>
          </w:tcPr>
          <w:p>
            <w:pPr>
              <w:pStyle w:val="2"/>
              <w:jc w:val="left"/>
              <w:rPr>
                <w:rFonts w:ascii="仿宋_GB2312" w:eastAsia="仿宋_GB2312"/>
                <w:sz w:val="21"/>
                <w:szCs w:val="21"/>
              </w:rPr>
            </w:pPr>
            <w:r>
              <w:rPr>
                <w:rFonts w:hint="eastAsia" w:ascii="仿宋_GB2312" w:eastAsia="仿宋_GB2312"/>
                <w:sz w:val="21"/>
                <w:szCs w:val="21"/>
              </w:rPr>
              <w:t>注重部门新闻宣传工作，加强网页建设及动态管理，及时宣传报道本部门品牌特色活动。积极参加文明校园建设，不断推进“一系一品”文化项目建设，形成文化特色。认真完成“学习强国”学习任务。</w:t>
            </w:r>
          </w:p>
        </w:tc>
        <w:tc>
          <w:tcPr>
            <w:tcW w:w="1838" w:type="dxa"/>
            <w:vMerge w:val="continue"/>
            <w:vAlign w:val="center"/>
          </w:tcPr>
          <w:p>
            <w:pPr>
              <w:adjustRightInd w:val="0"/>
              <w:snapToGrid w:val="0"/>
              <w:spacing w:line="280" w:lineRule="exact"/>
              <w:jc w:val="center"/>
            </w:pPr>
          </w:p>
        </w:tc>
        <w:tc>
          <w:tcPr>
            <w:tcW w:w="1630" w:type="dxa"/>
            <w:vAlign w:val="center"/>
          </w:tcPr>
          <w:p>
            <w:pPr>
              <w:jc w:val="center"/>
            </w:pPr>
            <w:r>
              <w:rPr>
                <w:rFonts w:hint="eastAsia"/>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07" w:hRule="atLeast"/>
          <w:jc w:val="center"/>
        </w:trPr>
        <w:tc>
          <w:tcPr>
            <w:tcW w:w="1238" w:type="dxa"/>
            <w:vMerge w:val="restart"/>
          </w:tcPr>
          <w:p>
            <w:pPr>
              <w:jc w:val="center"/>
              <w:rPr>
                <w:rFonts w:asciiTheme="minorEastAsia" w:hAnsiTheme="minorEastAsia" w:eastAsiaTheme="minorEastAsia" w:cstheme="minorEastAsia"/>
              </w:rPr>
            </w:pPr>
          </w:p>
          <w:p>
            <w:pPr>
              <w:jc w:val="center"/>
              <w:rPr>
                <w:rFonts w:asciiTheme="minorEastAsia" w:hAnsiTheme="minorEastAsia" w:eastAsiaTheme="minorEastAsia" w:cstheme="minorEastAsia"/>
              </w:rPr>
            </w:pPr>
          </w:p>
          <w:p>
            <w:pPr>
              <w:jc w:val="center"/>
              <w:rPr>
                <w:rFonts w:asciiTheme="minorEastAsia" w:hAnsiTheme="minorEastAsia" w:eastAsiaTheme="minorEastAsia" w:cstheme="minorEastAsia"/>
              </w:rPr>
            </w:pPr>
          </w:p>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基层组织建设</w:t>
            </w:r>
          </w:p>
          <w:p>
            <w:pPr>
              <w:jc w:val="center"/>
              <w:rPr>
                <w:rFonts w:asciiTheme="minorEastAsia" w:hAnsiTheme="minorEastAsia" w:eastAsiaTheme="minorEastAsia" w:cstheme="minorEastAsia"/>
              </w:rPr>
            </w:pPr>
          </w:p>
          <w:p>
            <w:pPr>
              <w:jc w:val="center"/>
              <w:rPr>
                <w:rFonts w:asciiTheme="minorEastAsia" w:hAnsiTheme="minorEastAsia" w:eastAsiaTheme="minorEastAsia" w:cstheme="minorEastAsia"/>
              </w:rPr>
            </w:pPr>
          </w:p>
          <w:p>
            <w:pPr>
              <w:jc w:val="center"/>
              <w:rPr>
                <w:rFonts w:asciiTheme="minorEastAsia" w:hAnsiTheme="minorEastAsia" w:eastAsiaTheme="minorEastAsia" w:cstheme="minorEastAsia"/>
              </w:rPr>
            </w:pPr>
          </w:p>
          <w:p>
            <w:pPr>
              <w:jc w:val="center"/>
              <w:rPr>
                <w:rFonts w:asciiTheme="minorEastAsia" w:hAnsiTheme="minorEastAsia" w:eastAsiaTheme="minorEastAsia" w:cstheme="minorEastAsia"/>
              </w:rPr>
            </w:pPr>
          </w:p>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基层组织建设（续）</w:t>
            </w:r>
          </w:p>
        </w:tc>
        <w:tc>
          <w:tcPr>
            <w:tcW w:w="1821"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履行主体责任</w:t>
            </w:r>
          </w:p>
        </w:tc>
        <w:tc>
          <w:tcPr>
            <w:tcW w:w="7572" w:type="dxa"/>
            <w:vAlign w:val="center"/>
          </w:tcPr>
          <w:p>
            <w:pPr>
              <w:pStyle w:val="2"/>
              <w:jc w:val="left"/>
              <w:rPr>
                <w:rFonts w:ascii="仿宋_GB2312" w:eastAsia="仿宋_GB2312"/>
                <w:sz w:val="21"/>
                <w:szCs w:val="21"/>
              </w:rPr>
            </w:pPr>
            <w:r>
              <w:rPr>
                <w:rFonts w:hint="eastAsia" w:ascii="仿宋_GB2312" w:eastAsia="仿宋_GB2312"/>
                <w:sz w:val="21"/>
                <w:szCs w:val="21"/>
              </w:rPr>
              <w:t>履行全面从严治党和党组织书记抓基层党建工作主体责任，贯彻落实学院党委的各项安排部署，落实“三重一大”集体决策制度，每月召开一次党政联席会议。党政主要负责同志每学期至少为学生讲一次思政课、为党员讲两次党课。</w:t>
            </w:r>
            <w:r>
              <w:rPr>
                <w:rFonts w:ascii="仿宋_GB2312" w:eastAsia="仿宋_GB2312"/>
                <w:sz w:val="21"/>
                <w:szCs w:val="21"/>
              </w:rPr>
              <w:t xml:space="preserve"> </w:t>
            </w:r>
          </w:p>
        </w:tc>
        <w:tc>
          <w:tcPr>
            <w:tcW w:w="1838" w:type="dxa"/>
            <w:vMerge w:val="continue"/>
            <w:vAlign w:val="center"/>
          </w:tcPr>
          <w:p>
            <w:pPr>
              <w:adjustRightInd w:val="0"/>
              <w:snapToGrid w:val="0"/>
              <w:spacing w:line="280" w:lineRule="exact"/>
              <w:jc w:val="center"/>
            </w:pPr>
          </w:p>
        </w:tc>
        <w:tc>
          <w:tcPr>
            <w:tcW w:w="1630" w:type="dxa"/>
            <w:vMerge w:val="restart"/>
          </w:tcPr>
          <w:p>
            <w:pPr>
              <w:jc w:val="center"/>
            </w:pPr>
          </w:p>
          <w:p>
            <w:pPr>
              <w:jc w:val="center"/>
            </w:pPr>
          </w:p>
          <w:p>
            <w:pPr>
              <w:jc w:val="center"/>
            </w:pPr>
          </w:p>
          <w:p>
            <w:pPr>
              <w:jc w:val="center"/>
            </w:pPr>
          </w:p>
          <w:p>
            <w:pPr>
              <w:jc w:val="center"/>
            </w:pPr>
            <w:r>
              <w:rPr>
                <w:rFonts w:hint="eastAsia"/>
              </w:rPr>
              <w:t>组织部</w:t>
            </w:r>
          </w:p>
          <w:p>
            <w:pPr>
              <w:jc w:val="center"/>
            </w:pPr>
          </w:p>
          <w:p>
            <w:pPr>
              <w:jc w:val="center"/>
            </w:pPr>
          </w:p>
          <w:p>
            <w:pPr>
              <w:jc w:val="center"/>
            </w:pPr>
          </w:p>
          <w:p>
            <w:pPr>
              <w:jc w:val="center"/>
            </w:pPr>
          </w:p>
          <w:p>
            <w:pPr>
              <w:jc w:val="center"/>
            </w:pPr>
          </w:p>
          <w:p>
            <w:pPr>
              <w:jc w:val="center"/>
            </w:pPr>
            <w:r>
              <w:rPr>
                <w:rFonts w:hint="eastAsia"/>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75" w:hRule="atLeast"/>
          <w:jc w:val="center"/>
        </w:trPr>
        <w:tc>
          <w:tcPr>
            <w:tcW w:w="1238" w:type="dxa"/>
            <w:vMerge w:val="continue"/>
            <w:tcBorders>
              <w:bottom w:val="single" w:color="auto" w:sz="4" w:space="0"/>
            </w:tcBorders>
            <w:vAlign w:val="center"/>
          </w:tcPr>
          <w:p>
            <w:pPr>
              <w:jc w:val="center"/>
              <w:rPr>
                <w:rFonts w:asciiTheme="minorEastAsia" w:hAnsiTheme="minorEastAsia" w:eastAsiaTheme="minorEastAsia" w:cstheme="minorEastAsia"/>
              </w:rPr>
            </w:pPr>
          </w:p>
        </w:tc>
        <w:tc>
          <w:tcPr>
            <w:tcW w:w="1821" w:type="dxa"/>
            <w:tcBorders>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基层组织建设</w:t>
            </w:r>
          </w:p>
        </w:tc>
        <w:tc>
          <w:tcPr>
            <w:tcW w:w="7572" w:type="dxa"/>
            <w:tcBorders>
              <w:bottom w:val="single" w:color="auto" w:sz="4" w:space="0"/>
            </w:tcBorders>
            <w:vAlign w:val="center"/>
          </w:tcPr>
          <w:p>
            <w:pPr>
              <w:pStyle w:val="2"/>
              <w:jc w:val="left"/>
              <w:rPr>
                <w:rFonts w:ascii="仿宋_GB2312" w:eastAsia="仿宋_GB2312"/>
                <w:sz w:val="21"/>
                <w:szCs w:val="21"/>
              </w:rPr>
            </w:pPr>
            <w:r>
              <w:rPr>
                <w:rFonts w:hint="eastAsia" w:ascii="仿宋_GB2312" w:eastAsia="仿宋_GB2312"/>
                <w:sz w:val="21"/>
                <w:szCs w:val="21"/>
              </w:rPr>
              <w:t>贯彻落实《中国共产党支部工作条例（试行）》，系统推进党支部标准化、规范化建设。认真落实“三会一课”、主题党日、组织生活会、党费收缴、谈心谈话等制度，重视和加强党员活动阵地和山东Ｅ支部建设。</w:t>
            </w:r>
            <w:r>
              <w:rPr>
                <w:rFonts w:ascii="仿宋_GB2312" w:eastAsia="仿宋_GB2312"/>
                <w:sz w:val="21"/>
                <w:szCs w:val="21"/>
              </w:rPr>
              <w:t xml:space="preserve"> </w:t>
            </w:r>
          </w:p>
        </w:tc>
        <w:tc>
          <w:tcPr>
            <w:tcW w:w="1838" w:type="dxa"/>
            <w:vMerge w:val="continue"/>
            <w:tcBorders>
              <w:bottom w:val="single" w:color="auto" w:sz="4" w:space="0"/>
            </w:tcBorders>
            <w:vAlign w:val="center"/>
          </w:tcPr>
          <w:p>
            <w:pPr>
              <w:adjustRightInd w:val="0"/>
              <w:snapToGrid w:val="0"/>
              <w:spacing w:line="280" w:lineRule="exact"/>
              <w:jc w:val="center"/>
            </w:pPr>
          </w:p>
        </w:tc>
        <w:tc>
          <w:tcPr>
            <w:tcW w:w="1630" w:type="dxa"/>
            <w:vMerge w:val="continue"/>
            <w:tcBorders>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88" w:hRule="atLeast"/>
          <w:jc w:val="center"/>
        </w:trPr>
        <w:tc>
          <w:tcPr>
            <w:tcW w:w="1238" w:type="dxa"/>
            <w:vMerge w:val="continue"/>
            <w:vAlign w:val="center"/>
          </w:tcPr>
          <w:p>
            <w:pPr>
              <w:jc w:val="center"/>
              <w:rPr>
                <w:rFonts w:asciiTheme="minorEastAsia" w:hAnsiTheme="minorEastAsia" w:eastAsiaTheme="minorEastAsia" w:cstheme="minorEastAsia"/>
              </w:rPr>
            </w:pPr>
          </w:p>
        </w:tc>
        <w:tc>
          <w:tcPr>
            <w:tcW w:w="1821"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加强教育监督</w:t>
            </w:r>
          </w:p>
        </w:tc>
        <w:tc>
          <w:tcPr>
            <w:tcW w:w="7572" w:type="dxa"/>
            <w:vAlign w:val="center"/>
          </w:tcPr>
          <w:p>
            <w:pPr>
              <w:pStyle w:val="2"/>
              <w:jc w:val="left"/>
              <w:rPr>
                <w:rFonts w:ascii="仿宋_GB2312" w:eastAsia="仿宋_GB2312"/>
                <w:sz w:val="21"/>
                <w:szCs w:val="21"/>
              </w:rPr>
            </w:pPr>
            <w:r>
              <w:rPr>
                <w:rFonts w:hint="eastAsia" w:ascii="仿宋_GB2312" w:eastAsia="仿宋_GB2312"/>
                <w:sz w:val="21"/>
                <w:szCs w:val="21"/>
              </w:rPr>
              <w:t>规范党员发展程序，不断壮大党员队伍；积极开展各类党建主题教育活动，加强党员队伍教育管理和监督。实施支部书记“双带头人”培育工程，充分发挥党员在教学科研管理服务中的先锋模范作用，取得明显成效。</w:t>
            </w:r>
          </w:p>
        </w:tc>
        <w:tc>
          <w:tcPr>
            <w:tcW w:w="1838" w:type="dxa"/>
            <w:vMerge w:val="restart"/>
            <w:vAlign w:val="center"/>
          </w:tcPr>
          <w:p>
            <w:pPr>
              <w:adjustRightInd w:val="0"/>
              <w:snapToGrid w:val="0"/>
              <w:spacing w:line="280" w:lineRule="exact"/>
              <w:jc w:val="left"/>
              <w:rPr>
                <w:rFonts w:ascii="仿宋_GB2312" w:eastAsia="仿宋_GB2312"/>
                <w:sz w:val="21"/>
                <w:szCs w:val="21"/>
              </w:rPr>
            </w:pPr>
            <w:r>
              <w:rPr>
                <w:rFonts w:hint="eastAsia" w:ascii="仿宋_GB2312" w:eastAsia="仿宋_GB2312"/>
                <w:sz w:val="21"/>
                <w:szCs w:val="21"/>
              </w:rPr>
              <w:t>落实到位、措施得力、成效明显的，为“好”；落实比较到位、措施比较得力、成效比较明显的，为“较好”；落实</w:t>
            </w:r>
            <w:r>
              <w:rPr>
                <w:rFonts w:hint="eastAsia" w:ascii="仿宋_GB2312" w:eastAsia="仿宋_GB2312"/>
                <w:sz w:val="21"/>
                <w:szCs w:val="21"/>
                <w:lang w:val="en-US" w:eastAsia="zh-CN"/>
              </w:rPr>
              <w:t>不到</w:t>
            </w:r>
            <w:r>
              <w:rPr>
                <w:rFonts w:hint="eastAsia" w:ascii="仿宋_GB2312" w:eastAsia="仿宋_GB2312"/>
                <w:sz w:val="21"/>
                <w:szCs w:val="21"/>
              </w:rPr>
              <w:t>位、措施</w:t>
            </w:r>
            <w:r>
              <w:rPr>
                <w:rFonts w:hint="eastAsia" w:ascii="仿宋_GB2312" w:eastAsia="仿宋_GB2312"/>
                <w:sz w:val="21"/>
                <w:szCs w:val="21"/>
                <w:lang w:val="en-US" w:eastAsia="zh-CN"/>
              </w:rPr>
              <w:t>不</w:t>
            </w:r>
            <w:r>
              <w:rPr>
                <w:rFonts w:hint="eastAsia" w:ascii="仿宋_GB2312" w:eastAsia="仿宋_GB2312"/>
                <w:sz w:val="21"/>
                <w:szCs w:val="21"/>
              </w:rPr>
              <w:t>得力、成效</w:t>
            </w:r>
            <w:r>
              <w:rPr>
                <w:rFonts w:hint="eastAsia" w:ascii="仿宋_GB2312" w:eastAsia="仿宋_GB2312"/>
                <w:sz w:val="21"/>
                <w:szCs w:val="21"/>
                <w:lang w:val="en-US" w:eastAsia="zh-CN"/>
              </w:rPr>
              <w:t>不</w:t>
            </w:r>
            <w:r>
              <w:rPr>
                <w:rFonts w:hint="eastAsia" w:ascii="仿宋_GB2312" w:eastAsia="仿宋_GB2312"/>
                <w:sz w:val="21"/>
                <w:szCs w:val="21"/>
              </w:rPr>
              <w:t>明显的，为“</w:t>
            </w:r>
            <w:r>
              <w:rPr>
                <w:rFonts w:hint="eastAsia" w:ascii="仿宋_GB2312" w:eastAsia="仿宋_GB2312"/>
                <w:sz w:val="21"/>
                <w:szCs w:val="21"/>
                <w:lang w:val="en-US" w:eastAsia="zh-CN"/>
              </w:rPr>
              <w:t>差</w:t>
            </w:r>
            <w:r>
              <w:rPr>
                <w:rFonts w:hint="eastAsia" w:ascii="仿宋_GB2312" w:eastAsia="仿宋_GB2312"/>
                <w:sz w:val="21"/>
                <w:szCs w:val="21"/>
              </w:rPr>
              <w:t>”。</w:t>
            </w:r>
          </w:p>
        </w:tc>
        <w:tc>
          <w:tcPr>
            <w:tcW w:w="163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07" w:hRule="atLeast"/>
          <w:jc w:val="center"/>
        </w:trPr>
        <w:tc>
          <w:tcPr>
            <w:tcW w:w="1238" w:type="dxa"/>
            <w:vMerge w:val="restart"/>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color w:val="000000"/>
              </w:rPr>
              <w:t>纪律作风建设</w:t>
            </w:r>
          </w:p>
        </w:tc>
        <w:tc>
          <w:tcPr>
            <w:tcW w:w="1821"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执行八项规定</w:t>
            </w:r>
          </w:p>
        </w:tc>
        <w:tc>
          <w:tcPr>
            <w:tcW w:w="7572" w:type="dxa"/>
            <w:vAlign w:val="center"/>
          </w:tcPr>
          <w:p>
            <w:pPr>
              <w:pStyle w:val="2"/>
              <w:jc w:val="left"/>
              <w:rPr>
                <w:rFonts w:ascii="仿宋_GB2312" w:eastAsia="仿宋_GB2312"/>
                <w:sz w:val="21"/>
                <w:szCs w:val="21"/>
              </w:rPr>
            </w:pPr>
            <w:r>
              <w:rPr>
                <w:rFonts w:hint="eastAsia" w:ascii="仿宋_GB2312" w:eastAsia="仿宋_GB2312"/>
                <w:sz w:val="21"/>
                <w:szCs w:val="21"/>
              </w:rPr>
              <w:t>落实中央八项规定及其实施细则精神，执行省委、两级市委有关文件规定。</w:t>
            </w:r>
            <w:r>
              <w:rPr>
                <w:rFonts w:hint="eastAsia" w:ascii="仿宋_GB2312" w:hAnsi="宋体" w:eastAsia="仿宋_GB2312" w:cs="宋体"/>
                <w:color w:val="000000"/>
                <w:sz w:val="21"/>
                <w:szCs w:val="21"/>
              </w:rPr>
              <w:t>执行办公用房、公车、考勤请销假制度等管理规定，办公环境整洁有序；</w:t>
            </w:r>
            <w:r>
              <w:rPr>
                <w:rFonts w:hint="eastAsia" w:ascii="仿宋_GB2312" w:eastAsia="仿宋_GB2312"/>
                <w:sz w:val="21"/>
                <w:szCs w:val="21"/>
              </w:rPr>
              <w:t>部门政治生态风清气正，无信访稳定事件发生，无责任事件、事故、案件发生。</w:t>
            </w:r>
          </w:p>
        </w:tc>
        <w:tc>
          <w:tcPr>
            <w:tcW w:w="1838" w:type="dxa"/>
            <w:vMerge w:val="continue"/>
            <w:vAlign w:val="center"/>
          </w:tcPr>
          <w:p>
            <w:pPr>
              <w:adjustRightInd w:val="0"/>
              <w:snapToGrid w:val="0"/>
              <w:spacing w:line="280" w:lineRule="exact"/>
              <w:jc w:val="center"/>
              <w:rPr>
                <w:sz w:val="21"/>
                <w:szCs w:val="21"/>
              </w:rPr>
            </w:pPr>
          </w:p>
        </w:tc>
        <w:tc>
          <w:tcPr>
            <w:tcW w:w="1630" w:type="dxa"/>
            <w:vAlign w:val="center"/>
          </w:tcPr>
          <w:p>
            <w:pPr>
              <w:jc w:val="center"/>
            </w:pPr>
            <w:r>
              <w:rPr>
                <w:rFonts w:hint="eastAsi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40" w:hRule="atLeast"/>
          <w:jc w:val="center"/>
        </w:trPr>
        <w:tc>
          <w:tcPr>
            <w:tcW w:w="1238" w:type="dxa"/>
            <w:vMerge w:val="continue"/>
            <w:vAlign w:val="center"/>
          </w:tcPr>
          <w:p>
            <w:pPr>
              <w:jc w:val="center"/>
              <w:rPr>
                <w:rFonts w:asciiTheme="minorEastAsia" w:hAnsiTheme="minorEastAsia" w:eastAsiaTheme="minorEastAsia" w:cstheme="minorEastAsia"/>
              </w:rPr>
            </w:pPr>
          </w:p>
        </w:tc>
        <w:tc>
          <w:tcPr>
            <w:tcW w:w="1821"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落实党风廉政</w:t>
            </w:r>
          </w:p>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建设责任制</w:t>
            </w:r>
          </w:p>
        </w:tc>
        <w:tc>
          <w:tcPr>
            <w:tcW w:w="7572" w:type="dxa"/>
            <w:vAlign w:val="center"/>
          </w:tcPr>
          <w:p>
            <w:pPr>
              <w:pStyle w:val="2"/>
              <w:jc w:val="left"/>
              <w:rPr>
                <w:rFonts w:ascii="仿宋_GB2312" w:eastAsia="仿宋_GB2312"/>
                <w:sz w:val="21"/>
                <w:szCs w:val="21"/>
              </w:rPr>
            </w:pPr>
            <w:r>
              <w:rPr>
                <w:rFonts w:hint="eastAsia" w:ascii="仿宋_GB2312" w:eastAsia="仿宋_GB2312"/>
                <w:sz w:val="21"/>
                <w:szCs w:val="21"/>
              </w:rPr>
              <w:t>全面落实党风廉政建设责任制，扎实做好廉政风险点防控工作，成效显著。持续整治“四风”，着力解决本单位作风建设中存在的突出问题，特别是整治形式主义、官僚主义新表现问题。</w:t>
            </w:r>
          </w:p>
        </w:tc>
        <w:tc>
          <w:tcPr>
            <w:tcW w:w="1838" w:type="dxa"/>
            <w:vMerge w:val="continue"/>
            <w:vAlign w:val="center"/>
          </w:tcPr>
          <w:p>
            <w:pPr>
              <w:adjustRightInd w:val="0"/>
              <w:snapToGrid w:val="0"/>
              <w:spacing w:line="280" w:lineRule="exact"/>
              <w:jc w:val="center"/>
              <w:rPr>
                <w:sz w:val="21"/>
                <w:szCs w:val="21"/>
              </w:rPr>
            </w:pPr>
          </w:p>
        </w:tc>
        <w:tc>
          <w:tcPr>
            <w:tcW w:w="1630" w:type="dxa"/>
            <w:vAlign w:val="center"/>
          </w:tcPr>
          <w:p>
            <w:pPr>
              <w:jc w:val="center"/>
              <w:rPr>
                <w:rFonts w:hint="default" w:eastAsiaTheme="minorEastAsia"/>
                <w:lang w:val="en-US" w:eastAsia="zh-CN"/>
              </w:rPr>
            </w:pPr>
            <w:r>
              <w:rPr>
                <w:rFonts w:hint="eastAsia" w:asciiTheme="minorEastAsia" w:hAnsiTheme="minorEastAsia" w:eastAsiaTheme="minorEastAsia" w:cstheme="minorEastAsia"/>
                <w:color w:val="000000"/>
              </w:rPr>
              <w:t>纪委办</w:t>
            </w:r>
            <w:r>
              <w:rPr>
                <w:rFonts w:hint="eastAsia" w:asciiTheme="minorEastAsia" w:hAnsiTheme="minorEastAsia" w:eastAsiaTheme="minorEastAsia" w:cstheme="minorEastAsia"/>
                <w:color w:val="000000"/>
                <w:lang w:val="en-US" w:eastAsia="zh-CN"/>
              </w:rPr>
              <w:t>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51" w:hRule="atLeast"/>
          <w:jc w:val="center"/>
        </w:trPr>
        <w:tc>
          <w:tcPr>
            <w:tcW w:w="1238" w:type="dxa"/>
            <w:vMerge w:val="continue"/>
            <w:vAlign w:val="center"/>
          </w:tcPr>
          <w:p>
            <w:pPr>
              <w:jc w:val="center"/>
              <w:rPr>
                <w:rFonts w:asciiTheme="minorEastAsia" w:hAnsiTheme="minorEastAsia" w:eastAsiaTheme="minorEastAsia" w:cstheme="minorEastAsia"/>
              </w:rPr>
            </w:pPr>
          </w:p>
        </w:tc>
        <w:tc>
          <w:tcPr>
            <w:tcW w:w="1821" w:type="dxa"/>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加强师德师风</w:t>
            </w:r>
          </w:p>
          <w:p>
            <w:pPr>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建设</w:t>
            </w:r>
          </w:p>
        </w:tc>
        <w:tc>
          <w:tcPr>
            <w:tcW w:w="7572" w:type="dxa"/>
            <w:vAlign w:val="center"/>
          </w:tcPr>
          <w:p>
            <w:pPr>
              <w:pStyle w:val="2"/>
              <w:jc w:val="left"/>
              <w:rPr>
                <w:rFonts w:ascii="仿宋_GB2312" w:eastAsia="仿宋_GB2312"/>
                <w:color w:val="auto"/>
                <w:sz w:val="21"/>
                <w:szCs w:val="21"/>
              </w:rPr>
            </w:pPr>
            <w:r>
              <w:rPr>
                <w:rFonts w:hint="eastAsia" w:ascii="仿宋_GB2312" w:eastAsia="仿宋_GB2312"/>
                <w:color w:val="auto"/>
                <w:sz w:val="21"/>
                <w:szCs w:val="21"/>
              </w:rPr>
              <w:t>加强师德师风建设，</w:t>
            </w:r>
            <w:r>
              <w:rPr>
                <w:rFonts w:hint="eastAsia" w:ascii="仿宋_GB2312" w:eastAsia="仿宋_GB2312"/>
                <w:color w:val="auto"/>
                <w:sz w:val="21"/>
                <w:szCs w:val="21"/>
                <w:lang w:eastAsia="zh-CN"/>
              </w:rPr>
              <w:t>职能部门人员</w:t>
            </w:r>
            <w:r>
              <w:rPr>
                <w:rFonts w:hint="eastAsia" w:ascii="仿宋_GB2312" w:eastAsia="仿宋_GB2312"/>
                <w:color w:val="auto"/>
                <w:sz w:val="21"/>
                <w:szCs w:val="21"/>
              </w:rPr>
              <w:t>为人师表、教书育人，无违反师德师风行为出现。分工会组织健全，重视自身建设和教职员工队伍建设，切实做好维权职能发挥与维护稳定工作。</w:t>
            </w:r>
          </w:p>
        </w:tc>
        <w:tc>
          <w:tcPr>
            <w:tcW w:w="1838" w:type="dxa"/>
            <w:vMerge w:val="continue"/>
            <w:vAlign w:val="center"/>
          </w:tcPr>
          <w:p>
            <w:pPr>
              <w:adjustRightInd w:val="0"/>
              <w:snapToGrid w:val="0"/>
              <w:spacing w:line="280" w:lineRule="exact"/>
              <w:jc w:val="center"/>
              <w:rPr>
                <w:sz w:val="21"/>
                <w:szCs w:val="21"/>
              </w:rPr>
            </w:pPr>
          </w:p>
        </w:tc>
        <w:tc>
          <w:tcPr>
            <w:tcW w:w="1630" w:type="dxa"/>
            <w:vAlign w:val="center"/>
          </w:tcPr>
          <w:p>
            <w:pPr>
              <w:jc w:val="center"/>
            </w:pPr>
            <w:r>
              <w:rPr>
                <w:rFonts w:hint="eastAsia"/>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24" w:hRule="atLeast"/>
          <w:jc w:val="center"/>
        </w:trPr>
        <w:tc>
          <w:tcPr>
            <w:tcW w:w="1238" w:type="dxa"/>
            <w:vMerge w:val="restart"/>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预算资产管理</w:t>
            </w:r>
          </w:p>
        </w:tc>
        <w:tc>
          <w:tcPr>
            <w:tcW w:w="1821"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预算绩效管理</w:t>
            </w:r>
          </w:p>
        </w:tc>
        <w:tc>
          <w:tcPr>
            <w:tcW w:w="7572" w:type="dxa"/>
            <w:vAlign w:val="center"/>
          </w:tcPr>
          <w:p>
            <w:pPr>
              <w:pStyle w:val="2"/>
              <w:jc w:val="left"/>
              <w:rPr>
                <w:rFonts w:ascii="仿宋_GB2312" w:eastAsia="仿宋_GB2312"/>
                <w:sz w:val="21"/>
                <w:szCs w:val="21"/>
              </w:rPr>
            </w:pPr>
            <w:r>
              <w:rPr>
                <w:rFonts w:hint="eastAsia" w:ascii="仿宋_GB2312" w:eastAsia="仿宋_GB2312"/>
                <w:sz w:val="21"/>
                <w:szCs w:val="21"/>
              </w:rPr>
              <w:t>执行学院财务预算管理制度，办学经费支出科学合理，努力提高经费使用绩效。</w:t>
            </w:r>
          </w:p>
        </w:tc>
        <w:tc>
          <w:tcPr>
            <w:tcW w:w="1838" w:type="dxa"/>
            <w:vMerge w:val="continue"/>
            <w:vAlign w:val="center"/>
          </w:tcPr>
          <w:p>
            <w:pPr>
              <w:adjustRightInd w:val="0"/>
              <w:snapToGrid w:val="0"/>
              <w:spacing w:line="280" w:lineRule="exact"/>
              <w:jc w:val="center"/>
              <w:rPr>
                <w:sz w:val="21"/>
                <w:szCs w:val="21"/>
              </w:rPr>
            </w:pPr>
          </w:p>
        </w:tc>
        <w:tc>
          <w:tcPr>
            <w:tcW w:w="1630" w:type="dxa"/>
            <w:vMerge w:val="restart"/>
            <w:vAlign w:val="center"/>
          </w:tcPr>
          <w:p>
            <w:pPr>
              <w:jc w:val="center"/>
            </w:pPr>
            <w:r>
              <w:rPr>
                <w:rFonts w:hint="eastAsia"/>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89" w:hRule="atLeast"/>
          <w:jc w:val="center"/>
        </w:trPr>
        <w:tc>
          <w:tcPr>
            <w:tcW w:w="1238" w:type="dxa"/>
            <w:vMerge w:val="continue"/>
            <w:vAlign w:val="center"/>
          </w:tcPr>
          <w:p>
            <w:pPr>
              <w:jc w:val="center"/>
              <w:rPr>
                <w:rFonts w:asciiTheme="minorEastAsia" w:hAnsiTheme="minorEastAsia" w:eastAsiaTheme="minorEastAsia" w:cstheme="minorEastAsia"/>
              </w:rPr>
            </w:pPr>
          </w:p>
        </w:tc>
        <w:tc>
          <w:tcPr>
            <w:tcW w:w="1821"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固定资产管理</w:t>
            </w:r>
          </w:p>
        </w:tc>
        <w:tc>
          <w:tcPr>
            <w:tcW w:w="7572" w:type="dxa"/>
            <w:vAlign w:val="center"/>
          </w:tcPr>
          <w:p>
            <w:pPr>
              <w:pStyle w:val="2"/>
              <w:jc w:val="left"/>
              <w:rPr>
                <w:rFonts w:ascii="仿宋_GB2312" w:eastAsia="仿宋_GB2312"/>
                <w:sz w:val="21"/>
                <w:szCs w:val="21"/>
              </w:rPr>
            </w:pPr>
            <w:r>
              <w:rPr>
                <w:rFonts w:hint="eastAsia" w:ascii="仿宋_GB2312" w:eastAsia="仿宋_GB2312"/>
                <w:sz w:val="21"/>
                <w:szCs w:val="21"/>
              </w:rPr>
              <w:t>有兼职资产管理员，档案齐全，帐卡物相；注重办公设施、设备的维修维护，报废及时。</w:t>
            </w:r>
          </w:p>
        </w:tc>
        <w:tc>
          <w:tcPr>
            <w:tcW w:w="1838" w:type="dxa"/>
            <w:vMerge w:val="continue"/>
            <w:vAlign w:val="center"/>
          </w:tcPr>
          <w:p>
            <w:pPr>
              <w:adjustRightInd w:val="0"/>
              <w:snapToGrid w:val="0"/>
              <w:spacing w:line="280" w:lineRule="exact"/>
              <w:jc w:val="center"/>
              <w:rPr>
                <w:sz w:val="21"/>
                <w:szCs w:val="21"/>
              </w:rPr>
            </w:pPr>
          </w:p>
        </w:tc>
        <w:tc>
          <w:tcPr>
            <w:tcW w:w="163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04" w:hRule="atLeast"/>
          <w:jc w:val="center"/>
        </w:trPr>
        <w:tc>
          <w:tcPr>
            <w:tcW w:w="1238"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公共卫生管理</w:t>
            </w:r>
          </w:p>
        </w:tc>
        <w:tc>
          <w:tcPr>
            <w:tcW w:w="1821"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加强疫情防控</w:t>
            </w:r>
          </w:p>
        </w:tc>
        <w:tc>
          <w:tcPr>
            <w:tcW w:w="7572" w:type="dxa"/>
            <w:vAlign w:val="center"/>
          </w:tcPr>
          <w:p>
            <w:pPr>
              <w:pStyle w:val="2"/>
              <w:jc w:val="left"/>
              <w:rPr>
                <w:rFonts w:ascii="仿宋_GB2312" w:eastAsia="仿宋_GB2312"/>
                <w:sz w:val="21"/>
                <w:szCs w:val="21"/>
              </w:rPr>
            </w:pPr>
            <w:r>
              <w:rPr>
                <w:rFonts w:hint="eastAsia" w:ascii="仿宋_GB2312" w:eastAsia="仿宋_GB2312"/>
                <w:sz w:val="21"/>
                <w:szCs w:val="21"/>
              </w:rPr>
              <w:t>认真落实疫情防控要求，守护师生生命健康，确保校园安全，按照省委省政府统一部署及时组织学生开学返校，全面恢复教育教学秩序，加强常态化防控。</w:t>
            </w:r>
          </w:p>
        </w:tc>
        <w:tc>
          <w:tcPr>
            <w:tcW w:w="1838" w:type="dxa"/>
            <w:vMerge w:val="continue"/>
            <w:vAlign w:val="center"/>
          </w:tcPr>
          <w:p>
            <w:pPr>
              <w:adjustRightInd w:val="0"/>
              <w:snapToGrid w:val="0"/>
              <w:spacing w:line="280" w:lineRule="exact"/>
              <w:jc w:val="center"/>
              <w:rPr>
                <w:sz w:val="21"/>
                <w:szCs w:val="21"/>
              </w:rPr>
            </w:pPr>
          </w:p>
        </w:tc>
        <w:tc>
          <w:tcPr>
            <w:tcW w:w="1630" w:type="dxa"/>
            <w:vAlign w:val="center"/>
          </w:tcPr>
          <w:p>
            <w:pPr>
              <w:jc w:val="center"/>
            </w:pPr>
            <w:r>
              <w:rPr>
                <w:rFonts w:hint="eastAsia"/>
              </w:rPr>
              <w:t>办公室</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b w:val="0"/>
          <w:bCs/>
          <w:sz w:val="32"/>
          <w:szCs w:val="32"/>
        </w:rPr>
      </w:pPr>
      <w:r>
        <w:rPr>
          <w:rFonts w:hint="eastAsia" w:ascii="黑体" w:hAnsi="黑体" w:eastAsia="黑体"/>
          <w:b w:val="0"/>
          <w:bCs/>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ind w:firstLine="315"/>
        <w:jc w:val="center"/>
        <w:textAlignment w:val="auto"/>
        <w:rPr>
          <w:rFonts w:hint="eastAsia" w:ascii="方正小标宋简体" w:hAnsi="方正小标宋_GBK" w:eastAsia="方正小标宋简体" w:cs="方正小标宋_GBK"/>
          <w:bCs/>
          <w:color w:val="000000"/>
          <w:kern w:val="0"/>
          <w:sz w:val="44"/>
          <w:szCs w:val="44"/>
        </w:rPr>
      </w:pPr>
      <w:r>
        <w:rPr>
          <w:rFonts w:hint="eastAsia" w:ascii="方正小标宋简体" w:hAnsi="方正小标宋_GBK" w:eastAsia="方正小标宋简体" w:cs="方正小标宋_GBK"/>
          <w:bCs/>
          <w:color w:val="000000"/>
          <w:kern w:val="0"/>
          <w:sz w:val="44"/>
          <w:szCs w:val="44"/>
        </w:rPr>
        <w:t>职能</w:t>
      </w:r>
      <w:r>
        <w:rPr>
          <w:rFonts w:hint="eastAsia" w:ascii="方正小标宋简体" w:hAnsi="方正小标宋_GBK" w:eastAsia="方正小标宋简体" w:cs="方正小标宋_GBK"/>
          <w:bCs/>
          <w:color w:val="000000"/>
          <w:kern w:val="0"/>
          <w:sz w:val="44"/>
          <w:szCs w:val="44"/>
          <w:lang w:val="en-US" w:eastAsia="zh-CN"/>
        </w:rPr>
        <w:t>部门</w:t>
      </w:r>
      <w:r>
        <w:rPr>
          <w:rFonts w:hint="eastAsia" w:ascii="方正小标宋简体" w:hAnsi="方正小标宋_GBK" w:eastAsia="方正小标宋简体" w:cs="方正小标宋_GBK"/>
          <w:bCs/>
          <w:color w:val="000000"/>
          <w:kern w:val="0"/>
          <w:sz w:val="44"/>
          <w:szCs w:val="44"/>
        </w:rPr>
        <w:t>履行工作职责</w:t>
      </w:r>
      <w:r>
        <w:rPr>
          <w:rFonts w:hint="eastAsia" w:ascii="方正小标宋简体" w:hAnsi="方正小标宋_GBK" w:eastAsia="方正小标宋简体" w:cs="方正小标宋_GBK"/>
          <w:bCs/>
          <w:color w:val="000000"/>
          <w:kern w:val="0"/>
          <w:sz w:val="44"/>
          <w:szCs w:val="44"/>
          <w:lang w:val="en-US" w:eastAsia="zh-CN"/>
        </w:rPr>
        <w:t>考核</w:t>
      </w:r>
      <w:r>
        <w:rPr>
          <w:rFonts w:hint="eastAsia" w:ascii="方正小标宋简体" w:hAnsi="方正小标宋_GBK" w:eastAsia="方正小标宋简体" w:cs="方正小标宋_GBK"/>
          <w:bCs/>
          <w:color w:val="000000"/>
          <w:kern w:val="0"/>
          <w:sz w:val="44"/>
          <w:szCs w:val="44"/>
        </w:rPr>
        <w:t>指标</w:t>
      </w:r>
    </w:p>
    <w:p>
      <w:pPr>
        <w:ind w:firstLine="315"/>
        <w:jc w:val="center"/>
        <w:rPr>
          <w:b/>
        </w:rPr>
      </w:pPr>
    </w:p>
    <w:tbl>
      <w:tblPr>
        <w:tblStyle w:val="8"/>
        <w:tblW w:w="14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234"/>
        <w:gridCol w:w="1770"/>
        <w:gridCol w:w="9062"/>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2" w:hRule="atLeast"/>
          <w:tblHeader/>
          <w:jc w:val="center"/>
        </w:trPr>
        <w:tc>
          <w:tcPr>
            <w:tcW w:w="1234" w:type="dxa"/>
            <w:vAlign w:val="center"/>
          </w:tcPr>
          <w:p>
            <w:pPr>
              <w:widowControl w:val="0"/>
              <w:spacing w:before="69" w:beforeLines="20" w:after="69" w:afterLines="20"/>
              <w:jc w:val="center"/>
              <w:rPr>
                <w:rFonts w:ascii="黑体" w:hAnsi="黑体" w:eastAsia="黑体"/>
              </w:rPr>
            </w:pPr>
            <w:r>
              <w:rPr>
                <w:rFonts w:hint="eastAsia" w:ascii="黑体" w:hAnsi="黑体" w:eastAsia="黑体"/>
              </w:rPr>
              <w:t>履职指标</w:t>
            </w:r>
          </w:p>
        </w:tc>
        <w:tc>
          <w:tcPr>
            <w:tcW w:w="1770" w:type="dxa"/>
            <w:vAlign w:val="center"/>
          </w:tcPr>
          <w:p>
            <w:pPr>
              <w:widowControl w:val="0"/>
              <w:spacing w:before="69" w:beforeLines="20" w:after="69" w:afterLines="20"/>
              <w:jc w:val="center"/>
              <w:rPr>
                <w:rFonts w:ascii="黑体" w:hAnsi="黑体" w:eastAsia="黑体"/>
              </w:rPr>
            </w:pPr>
            <w:r>
              <w:rPr>
                <w:rFonts w:hint="eastAsia" w:ascii="黑体" w:hAnsi="黑体" w:eastAsia="黑体"/>
              </w:rPr>
              <w:t>一级指标</w:t>
            </w:r>
          </w:p>
        </w:tc>
        <w:tc>
          <w:tcPr>
            <w:tcW w:w="9062" w:type="dxa"/>
            <w:vAlign w:val="center"/>
          </w:tcPr>
          <w:p>
            <w:pPr>
              <w:widowControl w:val="0"/>
              <w:spacing w:before="69" w:beforeLines="20" w:after="69" w:afterLines="20"/>
              <w:ind w:left="106"/>
              <w:jc w:val="center"/>
              <w:rPr>
                <w:rFonts w:ascii="黑体" w:hAnsi="黑体" w:eastAsia="黑体"/>
              </w:rPr>
            </w:pPr>
            <w:r>
              <w:rPr>
                <w:rFonts w:hint="eastAsia" w:ascii="黑体" w:hAnsi="黑体" w:eastAsia="黑体"/>
              </w:rPr>
              <w:t>考核要点</w:t>
            </w:r>
          </w:p>
        </w:tc>
        <w:tc>
          <w:tcPr>
            <w:tcW w:w="2105" w:type="dxa"/>
            <w:vAlign w:val="center"/>
          </w:tcPr>
          <w:p>
            <w:pPr>
              <w:widowControl w:val="0"/>
              <w:spacing w:before="69" w:beforeLines="20" w:after="69" w:afterLines="20"/>
              <w:jc w:val="center"/>
              <w:rPr>
                <w:rFonts w:ascii="黑体" w:hAnsi="黑体" w:eastAsia="黑体"/>
              </w:rPr>
            </w:pPr>
            <w:r>
              <w:rPr>
                <w:rFonts w:hint="eastAsia" w:ascii="黑体" w:hAnsi="黑体" w:eastAsia="黑体"/>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70" w:hRule="atLeast"/>
          <w:jc w:val="center"/>
        </w:trPr>
        <w:tc>
          <w:tcPr>
            <w:tcW w:w="1234" w:type="dxa"/>
            <w:vMerge w:val="restart"/>
            <w:vAlign w:val="center"/>
          </w:tcPr>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办公室</w:t>
            </w:r>
          </w:p>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履职指标</w:t>
            </w:r>
          </w:p>
          <w:p>
            <w:pPr>
              <w:widowControl w:val="0"/>
              <w:spacing w:before="69" w:beforeLines="20" w:after="69" w:afterLines="20"/>
              <w:jc w:val="center"/>
              <w:rPr>
                <w:rFonts w:asciiTheme="minorEastAsia" w:hAnsiTheme="minorEastAsia" w:eastAsiaTheme="minorEastAsia"/>
              </w:rPr>
            </w:pPr>
          </w:p>
        </w:tc>
        <w:tc>
          <w:tcPr>
            <w:tcW w:w="1770" w:type="dxa"/>
            <w:vAlign w:val="center"/>
          </w:tcPr>
          <w:p>
            <w:pPr>
              <w:widowControl/>
              <w:jc w:val="center"/>
            </w:pPr>
            <w:r>
              <w:rPr>
                <w:rFonts w:hint="eastAsia"/>
              </w:rPr>
              <w:t>目标决策管理（2</w:t>
            </w:r>
            <w:r>
              <w:t>0</w:t>
            </w:r>
            <w:r>
              <w:rPr>
                <w:rFonts w:hint="eastAsia"/>
              </w:rPr>
              <w:t>分）</w:t>
            </w:r>
          </w:p>
        </w:tc>
        <w:tc>
          <w:tcPr>
            <w:tcW w:w="9062" w:type="dxa"/>
            <w:vAlign w:val="center"/>
          </w:tcPr>
          <w:p>
            <w:pPr>
              <w:widowControl/>
              <w:spacing w:line="264" w:lineRule="auto"/>
              <w:jc w:val="both"/>
              <w:rPr>
                <w:rFonts w:ascii="仿宋_GB2312" w:eastAsia="仿宋_GB2312"/>
              </w:rPr>
            </w:pPr>
            <w:r>
              <w:rPr>
                <w:rFonts w:hint="eastAsia" w:ascii="仿宋_GB2312" w:eastAsia="仿宋_GB2312"/>
              </w:rPr>
              <w:t>学院工作有规划、有检查；年初有计划、年终有总结，目标明确并分解到位；做好教育信息、政务信息等学院信息公开工作 (缺1项扣1分)。</w:t>
            </w:r>
          </w:p>
          <w:p>
            <w:pPr>
              <w:widowControl/>
              <w:spacing w:line="264" w:lineRule="auto"/>
              <w:jc w:val="both"/>
              <w:rPr>
                <w:rFonts w:ascii="仿宋_GB2312" w:eastAsia="仿宋_GB2312"/>
              </w:rPr>
            </w:pPr>
            <w:r>
              <w:rPr>
                <w:rFonts w:hint="eastAsia" w:ascii="仿宋_GB2312" w:eastAsia="仿宋_GB2312"/>
              </w:rPr>
              <w:t>协助学院党政，建立健全党委会、院长办公会制度，制定会议议程、会议通知、会议记录和纪要工作，落实回避、保密制度。</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jc w:val="both"/>
              <w:rPr>
                <w:rFonts w:ascii="仿宋_GB2312" w:eastAsia="仿宋_GB2312"/>
                <w:sz w:val="24"/>
              </w:rPr>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16" w:hRule="atLeast"/>
          <w:jc w:val="center"/>
        </w:trPr>
        <w:tc>
          <w:tcPr>
            <w:tcW w:w="1234" w:type="dxa"/>
            <w:vMerge w:val="continue"/>
            <w:vAlign w:val="center"/>
          </w:tcPr>
          <w:p>
            <w:pPr>
              <w:widowControl w:val="0"/>
              <w:spacing w:before="69" w:beforeLines="20" w:after="69" w:afterLines="20"/>
              <w:jc w:val="center"/>
            </w:pPr>
          </w:p>
        </w:tc>
        <w:tc>
          <w:tcPr>
            <w:tcW w:w="1770" w:type="dxa"/>
            <w:vAlign w:val="center"/>
          </w:tcPr>
          <w:p>
            <w:pPr>
              <w:widowControl/>
              <w:jc w:val="center"/>
            </w:pPr>
            <w:r>
              <w:t>公文</w:t>
            </w:r>
            <w:r>
              <w:rPr>
                <w:rFonts w:hint="eastAsia"/>
              </w:rPr>
              <w:t>档案处理</w:t>
            </w:r>
          </w:p>
          <w:p>
            <w:pPr>
              <w:widowControl/>
              <w:jc w:val="center"/>
            </w:pPr>
            <w:r>
              <w:rPr>
                <w:rFonts w:hint="eastAsia"/>
              </w:rPr>
              <w:t>（2</w:t>
            </w:r>
            <w:r>
              <w:t>0</w:t>
            </w:r>
            <w:r>
              <w:rPr>
                <w:rFonts w:hint="eastAsia"/>
              </w:rPr>
              <w:t>分）</w:t>
            </w:r>
          </w:p>
        </w:tc>
        <w:tc>
          <w:tcPr>
            <w:tcW w:w="9062" w:type="dxa"/>
            <w:vAlign w:val="center"/>
          </w:tcPr>
          <w:p>
            <w:pPr>
              <w:widowControl/>
              <w:spacing w:line="264" w:lineRule="auto"/>
              <w:jc w:val="both"/>
              <w:rPr>
                <w:rFonts w:ascii="仿宋_GB2312" w:eastAsia="仿宋_GB2312"/>
              </w:rPr>
            </w:pPr>
            <w:r>
              <w:rPr>
                <w:rFonts w:hint="eastAsia" w:ascii="仿宋_GB2312" w:eastAsia="仿宋_GB2312"/>
              </w:rPr>
              <w:t>做好学院的党政文件、公文、各类综合性文稿、主要领导讲话稿的起草以及公文的收发、管理等工作；</w:t>
            </w:r>
          </w:p>
          <w:p>
            <w:pPr>
              <w:widowControl/>
              <w:spacing w:line="264" w:lineRule="auto"/>
              <w:jc w:val="both"/>
              <w:rPr>
                <w:rFonts w:ascii="仿宋_GB2312" w:eastAsia="仿宋_GB2312"/>
              </w:rPr>
            </w:pPr>
            <w:r>
              <w:rPr>
                <w:rFonts w:hint="eastAsia" w:ascii="仿宋_GB2312" w:eastAsia="仿宋_GB2312"/>
              </w:rPr>
              <w:t>按照国家、学院规定做好档案管理及保密工作。完成学院大事记、年鉴、校志的编撰工作。</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76" w:hRule="atLeast"/>
          <w:jc w:val="center"/>
        </w:trPr>
        <w:tc>
          <w:tcPr>
            <w:tcW w:w="1234" w:type="dxa"/>
            <w:vMerge w:val="continue"/>
            <w:vAlign w:val="center"/>
          </w:tcPr>
          <w:p>
            <w:pPr>
              <w:widowControl w:val="0"/>
              <w:spacing w:before="69" w:beforeLines="20" w:after="69" w:afterLines="20"/>
              <w:jc w:val="center"/>
            </w:pPr>
          </w:p>
        </w:tc>
        <w:tc>
          <w:tcPr>
            <w:tcW w:w="1770" w:type="dxa"/>
            <w:vMerge w:val="restart"/>
            <w:vAlign w:val="center"/>
          </w:tcPr>
          <w:p>
            <w:pPr>
              <w:widowControl/>
              <w:jc w:val="center"/>
            </w:pPr>
            <w:r>
              <w:rPr>
                <w:rFonts w:hint="eastAsia"/>
              </w:rPr>
              <w:t>会议活动管理</w:t>
            </w:r>
          </w:p>
          <w:p>
            <w:pPr>
              <w:widowControl/>
              <w:jc w:val="center"/>
            </w:pPr>
            <w:r>
              <w:rPr>
                <w:rFonts w:hint="eastAsia"/>
              </w:rPr>
              <w:t>（2</w:t>
            </w:r>
            <w:r>
              <w:t>0</w:t>
            </w:r>
            <w:r>
              <w:rPr>
                <w:rFonts w:hint="eastAsia"/>
              </w:rPr>
              <w:t>分）</w:t>
            </w:r>
          </w:p>
        </w:tc>
        <w:tc>
          <w:tcPr>
            <w:tcW w:w="9062" w:type="dxa"/>
            <w:vAlign w:val="center"/>
          </w:tcPr>
          <w:p>
            <w:pPr>
              <w:widowControl/>
              <w:spacing w:line="264" w:lineRule="auto"/>
              <w:jc w:val="both"/>
              <w:rPr>
                <w:rFonts w:hint="eastAsia" w:ascii="仿宋_GB2312" w:eastAsia="仿宋_GB2312"/>
                <w:lang w:eastAsia="zh-CN"/>
              </w:rPr>
            </w:pPr>
            <w:r>
              <w:rPr>
                <w:rFonts w:hint="eastAsia" w:ascii="仿宋_GB2312" w:eastAsia="仿宋_GB2312"/>
              </w:rPr>
              <w:t>院级大会或重要活动组织周密，会议通知、议题征集、会议安排及会议纪要无失误(出现失误1项次扣1分)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3" w:hRule="atLeast"/>
          <w:jc w:val="center"/>
        </w:trPr>
        <w:tc>
          <w:tcPr>
            <w:tcW w:w="1234" w:type="dxa"/>
            <w:vMerge w:val="continue"/>
            <w:vAlign w:val="center"/>
          </w:tcPr>
          <w:p>
            <w:pPr>
              <w:widowControl w:val="0"/>
              <w:spacing w:before="69" w:beforeLines="20" w:after="69" w:afterLines="20"/>
              <w:jc w:val="center"/>
            </w:pPr>
          </w:p>
        </w:tc>
        <w:tc>
          <w:tcPr>
            <w:tcW w:w="1770" w:type="dxa"/>
            <w:vMerge w:val="continue"/>
            <w:vAlign w:val="center"/>
          </w:tcPr>
          <w:p>
            <w:pPr>
              <w:widowControl w:val="0"/>
              <w:spacing w:before="69" w:beforeLines="20" w:after="69" w:afterLines="20"/>
              <w:jc w:val="center"/>
              <w:rPr>
                <w:rFonts w:asciiTheme="minorEastAsia" w:hAnsiTheme="minorEastAsia" w:eastAsiaTheme="minorEastAsia"/>
              </w:rPr>
            </w:pPr>
          </w:p>
        </w:tc>
        <w:tc>
          <w:tcPr>
            <w:tcW w:w="9062" w:type="dxa"/>
            <w:vAlign w:val="center"/>
          </w:tcPr>
          <w:p>
            <w:pPr>
              <w:widowControl/>
              <w:spacing w:line="264" w:lineRule="auto"/>
              <w:jc w:val="both"/>
              <w:rPr>
                <w:rFonts w:hint="eastAsia" w:ascii="仿宋_GB2312" w:eastAsia="仿宋_GB2312"/>
                <w:lang w:eastAsia="zh-CN"/>
              </w:rPr>
            </w:pPr>
            <w:r>
              <w:rPr>
                <w:rFonts w:hint="eastAsia" w:ascii="仿宋_GB2312" w:eastAsia="仿宋_GB2312"/>
              </w:rPr>
              <w:t>学院重要工作日程安排到位。重要接待活动均制定实施方案，计划周密、协调组织得力、效果好)</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69" w:hRule="atLeast"/>
          <w:jc w:val="center"/>
        </w:trPr>
        <w:tc>
          <w:tcPr>
            <w:tcW w:w="1234" w:type="dxa"/>
            <w:vMerge w:val="continue"/>
            <w:vAlign w:val="center"/>
          </w:tcPr>
          <w:p>
            <w:pPr>
              <w:widowControl w:val="0"/>
              <w:spacing w:before="69" w:beforeLines="20" w:after="69" w:afterLines="20"/>
              <w:jc w:val="center"/>
            </w:pPr>
          </w:p>
        </w:tc>
        <w:tc>
          <w:tcPr>
            <w:tcW w:w="1770" w:type="dxa"/>
            <w:vAlign w:val="center"/>
          </w:tcPr>
          <w:p>
            <w:pPr>
              <w:widowControl/>
              <w:jc w:val="center"/>
            </w:pPr>
            <w:r>
              <w:rPr>
                <w:rFonts w:hint="eastAsia"/>
              </w:rPr>
              <w:t>重要事项督办（2</w:t>
            </w:r>
            <w:r>
              <w:t>0</w:t>
            </w:r>
            <w:r>
              <w:rPr>
                <w:rFonts w:hint="eastAsia"/>
              </w:rPr>
              <w:t>分）</w:t>
            </w:r>
          </w:p>
        </w:tc>
        <w:tc>
          <w:tcPr>
            <w:tcW w:w="9062" w:type="dxa"/>
            <w:vAlign w:val="center"/>
          </w:tcPr>
          <w:p>
            <w:pPr>
              <w:widowControl/>
              <w:spacing w:line="264" w:lineRule="auto"/>
              <w:jc w:val="both"/>
              <w:rPr>
                <w:rFonts w:hint="eastAsia" w:ascii="仿宋_GB2312" w:eastAsia="仿宋_GB2312"/>
                <w:lang w:val="en-US" w:eastAsia="zh-CN"/>
              </w:rPr>
            </w:pPr>
            <w:r>
              <w:rPr>
                <w:rFonts w:hint="eastAsia" w:ascii="仿宋_GB2312" w:eastAsia="仿宋_GB2312"/>
              </w:rPr>
              <w:t>做好学院年度工作任务、学院领导批办事项的督办和调查研究工作(督办不到位，致使有关工作没按期完成，每次扣1分)</w:t>
            </w:r>
            <w:r>
              <w:rPr>
                <w:rFonts w:hint="eastAsia" w:ascii="仿宋_GB2312" w:eastAsia="仿宋_GB2312"/>
                <w:lang w:eastAsia="zh-CN"/>
              </w:rPr>
              <w:t>。</w:t>
            </w:r>
          </w:p>
          <w:p>
            <w:pPr>
              <w:widowControl/>
              <w:spacing w:line="264" w:lineRule="auto"/>
              <w:jc w:val="both"/>
              <w:rPr>
                <w:rFonts w:ascii="仿宋_GB2312" w:eastAsia="仿宋_GB2312"/>
              </w:rPr>
            </w:pPr>
            <w:r>
              <w:rPr>
                <w:rFonts w:hint="eastAsia" w:ascii="仿宋_GB2312" w:eastAsia="仿宋_GB2312"/>
              </w:rPr>
              <w:t>节假日及值班安排、通知准确到位，值班情况督查到位(出现1次差错扣1分)。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75" w:hRule="atLeast"/>
          <w:jc w:val="center"/>
        </w:trPr>
        <w:tc>
          <w:tcPr>
            <w:tcW w:w="1234" w:type="dxa"/>
            <w:vMerge w:val="continue"/>
            <w:vAlign w:val="center"/>
          </w:tcPr>
          <w:p>
            <w:pPr>
              <w:widowControl w:val="0"/>
              <w:spacing w:before="69" w:beforeLines="20" w:after="69" w:afterLines="20"/>
              <w:jc w:val="center"/>
            </w:pPr>
          </w:p>
        </w:tc>
        <w:tc>
          <w:tcPr>
            <w:tcW w:w="1770" w:type="dxa"/>
            <w:vMerge w:val="restart"/>
            <w:vAlign w:val="center"/>
          </w:tcPr>
          <w:p>
            <w:pPr>
              <w:widowControl/>
              <w:jc w:val="center"/>
            </w:pPr>
            <w:r>
              <w:rPr>
                <w:rFonts w:hint="eastAsia"/>
              </w:rPr>
              <w:t>日常服务管理</w:t>
            </w:r>
          </w:p>
          <w:p>
            <w:pPr>
              <w:widowControl/>
              <w:jc w:val="center"/>
            </w:pPr>
            <w:r>
              <w:rPr>
                <w:rFonts w:hint="eastAsia"/>
              </w:rPr>
              <w:t>（2</w:t>
            </w:r>
            <w:r>
              <w:t>0</w:t>
            </w:r>
            <w:r>
              <w:rPr>
                <w:rFonts w:hint="eastAsia"/>
              </w:rPr>
              <w:t>分）</w:t>
            </w:r>
          </w:p>
        </w:tc>
        <w:tc>
          <w:tcPr>
            <w:tcW w:w="9062" w:type="dxa"/>
            <w:vAlign w:val="center"/>
          </w:tcPr>
          <w:p>
            <w:pPr>
              <w:widowControl/>
              <w:spacing w:line="264" w:lineRule="auto"/>
              <w:jc w:val="both"/>
              <w:rPr>
                <w:rFonts w:ascii="仿宋_GB2312" w:eastAsia="仿宋_GB2312"/>
              </w:rPr>
            </w:pPr>
            <w:r>
              <w:rPr>
                <w:rFonts w:hint="eastAsia" w:ascii="仿宋_GB2312" w:eastAsia="仿宋_GB2312"/>
              </w:rPr>
              <w:t>车辆管理制度落实好，车辆调度有序，服务规范，安全高效。</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9" w:hRule="atLeast"/>
          <w:jc w:val="center"/>
        </w:trPr>
        <w:tc>
          <w:tcPr>
            <w:tcW w:w="1234" w:type="dxa"/>
            <w:vMerge w:val="continue"/>
            <w:vAlign w:val="center"/>
          </w:tcPr>
          <w:p>
            <w:pPr>
              <w:widowControl w:val="0"/>
              <w:spacing w:before="69" w:beforeLines="20" w:after="69" w:afterLines="20"/>
              <w:jc w:val="center"/>
            </w:pPr>
          </w:p>
        </w:tc>
        <w:tc>
          <w:tcPr>
            <w:tcW w:w="1770" w:type="dxa"/>
            <w:vMerge w:val="continue"/>
            <w:vAlign w:val="center"/>
          </w:tcPr>
          <w:p>
            <w:pPr>
              <w:widowControl w:val="0"/>
              <w:spacing w:before="69" w:beforeLines="20" w:after="69" w:afterLines="20"/>
              <w:jc w:val="both"/>
              <w:rPr>
                <w:rFonts w:asciiTheme="minorEastAsia" w:hAnsiTheme="minorEastAsia" w:eastAsiaTheme="minorEastAsia"/>
              </w:rPr>
            </w:pPr>
          </w:p>
        </w:tc>
        <w:tc>
          <w:tcPr>
            <w:tcW w:w="9062" w:type="dxa"/>
            <w:vAlign w:val="center"/>
          </w:tcPr>
          <w:p>
            <w:pPr>
              <w:widowControl/>
              <w:spacing w:line="264" w:lineRule="auto"/>
              <w:jc w:val="both"/>
              <w:rPr>
                <w:rFonts w:ascii="仿宋_GB2312" w:eastAsia="仿宋_GB2312"/>
              </w:rPr>
            </w:pPr>
            <w:r>
              <w:rPr>
                <w:rFonts w:hint="eastAsia" w:ascii="仿宋_GB2312" w:eastAsia="仿宋_GB2312"/>
              </w:rPr>
              <w:t>印章管理规范。物业监管到位。</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16" w:hRule="atLeast"/>
          <w:jc w:val="center"/>
        </w:trPr>
        <w:tc>
          <w:tcPr>
            <w:tcW w:w="1234" w:type="dxa"/>
            <w:vMerge w:val="restart"/>
            <w:vAlign w:val="center"/>
          </w:tcPr>
          <w:p>
            <w:pPr>
              <w:widowControl w:val="0"/>
              <w:spacing w:before="69" w:beforeLines="20" w:after="69" w:afterLines="20"/>
              <w:jc w:val="center"/>
              <w:rPr>
                <w:rFonts w:hint="eastAsia" w:asciiTheme="minorEastAsia" w:hAnsiTheme="minorEastAsia" w:eastAsiaTheme="minorEastAsia"/>
              </w:rPr>
            </w:pPr>
            <w:r>
              <w:rPr>
                <w:rFonts w:hint="eastAsia" w:asciiTheme="minorEastAsia" w:hAnsiTheme="minorEastAsia" w:eastAsiaTheme="minorEastAsia"/>
              </w:rPr>
              <w:t>纪委</w:t>
            </w:r>
          </w:p>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办公室</w:t>
            </w:r>
          </w:p>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履职指标</w:t>
            </w:r>
          </w:p>
          <w:p>
            <w:pPr>
              <w:widowControl w:val="0"/>
              <w:spacing w:before="69" w:beforeLines="20" w:after="69" w:afterLines="20"/>
              <w:jc w:val="center"/>
            </w:pPr>
          </w:p>
        </w:tc>
        <w:tc>
          <w:tcPr>
            <w:tcW w:w="1770" w:type="dxa"/>
            <w:vAlign w:val="center"/>
          </w:tcPr>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履行监督责任（</w:t>
            </w:r>
            <w:r>
              <w:rPr>
                <w:rFonts w:eastAsia="仿宋_GB2312"/>
              </w:rPr>
              <w:t>20</w:t>
            </w:r>
            <w:r>
              <w:rPr>
                <w:rFonts w:hint="eastAsia" w:eastAsia="仿宋_GB2312"/>
              </w:rPr>
              <w:t>分）</w:t>
            </w:r>
          </w:p>
        </w:tc>
        <w:tc>
          <w:tcPr>
            <w:tcW w:w="9062" w:type="dxa"/>
            <w:vAlign w:val="center"/>
          </w:tcPr>
          <w:p>
            <w:pPr>
              <w:widowControl w:val="0"/>
              <w:spacing w:line="276" w:lineRule="auto"/>
              <w:jc w:val="both"/>
              <w:rPr>
                <w:rFonts w:ascii="仿宋_GB2312" w:eastAsia="仿宋_GB2312"/>
              </w:rPr>
            </w:pPr>
            <w:r>
              <w:rPr>
                <w:rFonts w:eastAsia="仿宋_GB2312"/>
              </w:rPr>
              <w:t>开展效能监察，检查各部门的行风建设情况(无检查扣2分)；协助</w:t>
            </w:r>
            <w:r>
              <w:rPr>
                <w:rFonts w:hint="eastAsia" w:eastAsia="仿宋_GB2312"/>
              </w:rPr>
              <w:t>党委</w:t>
            </w:r>
            <w:r>
              <w:rPr>
                <w:rFonts w:eastAsia="仿宋_GB2312"/>
              </w:rPr>
              <w:t>做好对领导指示、学院党政工作重大决策及重要工作部署、重要会议决议及决定等落实情况的督查调研工作(效能投诉不处理或不协助督办1次扣1分)。</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both"/>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1" w:hRule="atLeast"/>
          <w:jc w:val="center"/>
        </w:trPr>
        <w:tc>
          <w:tcPr>
            <w:tcW w:w="1234" w:type="dxa"/>
            <w:vMerge w:val="continue"/>
            <w:vAlign w:val="center"/>
          </w:tcPr>
          <w:p>
            <w:pPr>
              <w:widowControl w:val="0"/>
              <w:spacing w:before="69" w:beforeLines="20" w:after="69" w:afterLines="20"/>
              <w:jc w:val="center"/>
            </w:pPr>
          </w:p>
        </w:tc>
        <w:tc>
          <w:tcPr>
            <w:tcW w:w="1770" w:type="dxa"/>
            <w:vMerge w:val="restart"/>
            <w:vAlign w:val="center"/>
          </w:tcPr>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行政监察工作（</w:t>
            </w:r>
            <w:r>
              <w:rPr>
                <w:rFonts w:eastAsia="仿宋_GB2312"/>
              </w:rPr>
              <w:t>20</w:t>
            </w:r>
            <w:r>
              <w:rPr>
                <w:rFonts w:hint="eastAsia" w:eastAsia="仿宋_GB2312"/>
              </w:rPr>
              <w:t>分）</w:t>
            </w:r>
          </w:p>
        </w:tc>
        <w:tc>
          <w:tcPr>
            <w:tcW w:w="9062" w:type="dxa"/>
            <w:vAlign w:val="center"/>
          </w:tcPr>
          <w:p>
            <w:pPr>
              <w:widowControl w:val="0"/>
              <w:spacing w:line="276" w:lineRule="auto"/>
              <w:jc w:val="both"/>
              <w:rPr>
                <w:rFonts w:ascii="仿宋_GB2312" w:eastAsia="仿宋_GB2312"/>
              </w:rPr>
            </w:pPr>
            <w:r>
              <w:rPr>
                <w:rFonts w:eastAsia="仿宋_GB2312"/>
              </w:rPr>
              <w:t>主动履行</w:t>
            </w:r>
            <w:r>
              <w:rPr>
                <w:rFonts w:hint="eastAsia" w:eastAsia="仿宋_GB2312"/>
              </w:rPr>
              <w:t>监察</w:t>
            </w:r>
            <w:r>
              <w:rPr>
                <w:rFonts w:eastAsia="仿宋_GB2312"/>
              </w:rPr>
              <w:t>职责</w:t>
            </w:r>
            <w:r>
              <w:rPr>
                <w:rFonts w:hint="eastAsia" w:eastAsia="仿宋_GB2312"/>
              </w:rPr>
              <w:t>，</w:t>
            </w:r>
            <w:r>
              <w:rPr>
                <w:rFonts w:eastAsia="仿宋_GB2312"/>
              </w:rPr>
              <w:t>对发现的问题提出监察建议</w:t>
            </w:r>
            <w:r>
              <w:rPr>
                <w:rFonts w:hint="eastAsia" w:eastAsia="仿宋_GB2312"/>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99" w:hRule="atLeast"/>
          <w:jc w:val="center"/>
        </w:trPr>
        <w:tc>
          <w:tcPr>
            <w:tcW w:w="1234" w:type="dxa"/>
            <w:vMerge w:val="continue"/>
            <w:vAlign w:val="center"/>
          </w:tcPr>
          <w:p>
            <w:pPr>
              <w:widowControl w:val="0"/>
              <w:spacing w:before="69" w:beforeLines="20" w:after="69" w:afterLines="20"/>
              <w:jc w:val="center"/>
            </w:pPr>
          </w:p>
        </w:tc>
        <w:tc>
          <w:tcPr>
            <w:tcW w:w="1770" w:type="dxa"/>
            <w:vMerge w:val="continue"/>
            <w:vAlign w:val="center"/>
          </w:tcPr>
          <w:p>
            <w:pPr>
              <w:widowControl w:val="0"/>
              <w:spacing w:before="69" w:beforeLines="20" w:after="69" w:afterLines="20"/>
              <w:jc w:val="center"/>
              <w:rPr>
                <w:rFonts w:asciiTheme="minorEastAsia" w:hAnsiTheme="minorEastAsia" w:eastAsiaTheme="minorEastAsia"/>
              </w:rPr>
            </w:pPr>
          </w:p>
        </w:tc>
        <w:tc>
          <w:tcPr>
            <w:tcW w:w="9062" w:type="dxa"/>
            <w:vAlign w:val="center"/>
          </w:tcPr>
          <w:p>
            <w:pPr>
              <w:widowControl w:val="0"/>
              <w:spacing w:line="276" w:lineRule="auto"/>
              <w:jc w:val="both"/>
              <w:rPr>
                <w:rFonts w:ascii="仿宋_GB2312" w:eastAsia="仿宋_GB2312"/>
              </w:rPr>
            </w:pPr>
            <w:r>
              <w:rPr>
                <w:rFonts w:eastAsia="仿宋_GB2312"/>
              </w:rPr>
              <w:t>受理对行政监察对象违反行政纪律行为的控告、检举，受理行政监察对象不服政纪处分的申诉，做好信访登记、办理、建档工作及稳定工作(程序不规范、无登记记录1例扣1分，解释处理不当致使问题扩大化造成不良影响，1例扣2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91" w:hRule="atLeast"/>
          <w:jc w:val="center"/>
        </w:trPr>
        <w:tc>
          <w:tcPr>
            <w:tcW w:w="1234" w:type="dxa"/>
            <w:vMerge w:val="continue"/>
            <w:vAlign w:val="center"/>
          </w:tcPr>
          <w:p>
            <w:pPr>
              <w:widowControl w:val="0"/>
              <w:spacing w:before="69" w:beforeLines="20" w:after="69" w:afterLines="20"/>
              <w:jc w:val="center"/>
            </w:pPr>
          </w:p>
        </w:tc>
        <w:tc>
          <w:tcPr>
            <w:tcW w:w="1770" w:type="dxa"/>
            <w:vAlign w:val="center"/>
          </w:tcPr>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执纪问责情况（</w:t>
            </w:r>
            <w:r>
              <w:rPr>
                <w:rFonts w:eastAsia="仿宋_GB2312"/>
              </w:rPr>
              <w:t>20</w:t>
            </w:r>
            <w:r>
              <w:rPr>
                <w:rFonts w:hint="eastAsia" w:eastAsia="仿宋_GB2312"/>
              </w:rPr>
              <w:t>分）</w:t>
            </w:r>
          </w:p>
        </w:tc>
        <w:tc>
          <w:tcPr>
            <w:tcW w:w="9062" w:type="dxa"/>
            <w:vAlign w:val="center"/>
          </w:tcPr>
          <w:p>
            <w:pPr>
              <w:widowControl w:val="0"/>
              <w:spacing w:line="276" w:lineRule="auto"/>
              <w:jc w:val="both"/>
              <w:rPr>
                <w:rFonts w:ascii="仿宋_GB2312" w:eastAsia="仿宋_GB2312"/>
              </w:rPr>
            </w:pPr>
            <w:r>
              <w:rPr>
                <w:rFonts w:eastAsia="仿宋_GB2312"/>
              </w:rPr>
              <w:t>程序规范</w:t>
            </w:r>
            <w:r>
              <w:rPr>
                <w:rFonts w:hint="eastAsia" w:eastAsia="仿宋_GB2312"/>
              </w:rPr>
              <w:t>，案件</w:t>
            </w:r>
            <w:r>
              <w:rPr>
                <w:rFonts w:eastAsia="仿宋_GB2312"/>
              </w:rPr>
              <w:t>档案材料齐全(措施每缺1个扣1分)</w:t>
            </w:r>
            <w:r>
              <w:rPr>
                <w:rFonts w:hint="eastAsia" w:eastAsia="仿宋_GB2312"/>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90" w:hRule="atLeast"/>
          <w:jc w:val="center"/>
        </w:trPr>
        <w:tc>
          <w:tcPr>
            <w:tcW w:w="1234" w:type="dxa"/>
            <w:vMerge w:val="continue"/>
            <w:vAlign w:val="center"/>
          </w:tcPr>
          <w:p>
            <w:pPr>
              <w:widowControl w:val="0"/>
              <w:spacing w:before="69" w:beforeLines="20" w:after="69" w:afterLines="20"/>
              <w:jc w:val="center"/>
            </w:pPr>
          </w:p>
        </w:tc>
        <w:tc>
          <w:tcPr>
            <w:tcW w:w="1770" w:type="dxa"/>
            <w:vMerge w:val="restart"/>
            <w:vAlign w:val="center"/>
          </w:tcPr>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落实党风廉政建设责任制</w:t>
            </w:r>
          </w:p>
          <w:p>
            <w:pPr>
              <w:widowControl w:val="0"/>
              <w:spacing w:before="69" w:beforeLines="20" w:after="69" w:afterLines="20"/>
              <w:jc w:val="center"/>
              <w:rPr>
                <w:rFonts w:asciiTheme="minorEastAsia" w:hAnsiTheme="minorEastAsia" w:eastAsiaTheme="minorEastAsia"/>
              </w:rPr>
            </w:pPr>
            <w:r>
              <w:rPr>
                <w:rFonts w:hint="eastAsia" w:eastAsia="仿宋_GB2312"/>
              </w:rPr>
              <w:t>（20分）</w:t>
            </w:r>
          </w:p>
        </w:tc>
        <w:tc>
          <w:tcPr>
            <w:tcW w:w="9062" w:type="dxa"/>
            <w:vAlign w:val="center"/>
          </w:tcPr>
          <w:p>
            <w:pPr>
              <w:widowControl w:val="0"/>
              <w:spacing w:line="276" w:lineRule="auto"/>
              <w:jc w:val="both"/>
              <w:rPr>
                <w:rFonts w:hint="eastAsia" w:ascii="仿宋_GB2312" w:eastAsia="仿宋_GB2312"/>
                <w:lang w:eastAsia="zh-CN"/>
              </w:rPr>
            </w:pPr>
            <w:r>
              <w:rPr>
                <w:rFonts w:hint="eastAsia" w:eastAsia="仿宋_GB2312"/>
              </w:rPr>
              <w:t>召开党风廉政建设大会，</w:t>
            </w:r>
            <w:r>
              <w:rPr>
                <w:rFonts w:eastAsia="仿宋_GB2312"/>
              </w:rPr>
              <w:t>开展党风廉政建设宣传教育工作(教育无措施，未按要求组织活动，每项扣1分)</w:t>
            </w:r>
            <w:r>
              <w:rPr>
                <w:rFonts w:hint="eastAsia"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2" w:hRule="atLeast"/>
          <w:jc w:val="center"/>
        </w:trPr>
        <w:tc>
          <w:tcPr>
            <w:tcW w:w="1234" w:type="dxa"/>
            <w:vMerge w:val="continue"/>
            <w:vAlign w:val="center"/>
          </w:tcPr>
          <w:p>
            <w:pPr>
              <w:widowControl w:val="0"/>
              <w:spacing w:before="69" w:beforeLines="20" w:after="69" w:afterLines="20"/>
              <w:jc w:val="center"/>
            </w:pPr>
          </w:p>
        </w:tc>
        <w:tc>
          <w:tcPr>
            <w:tcW w:w="1770" w:type="dxa"/>
            <w:vMerge w:val="continue"/>
            <w:vAlign w:val="center"/>
          </w:tcPr>
          <w:p>
            <w:pPr>
              <w:widowControl w:val="0"/>
              <w:spacing w:before="69" w:beforeLines="20" w:after="69" w:afterLines="20"/>
              <w:jc w:val="center"/>
              <w:rPr>
                <w:rFonts w:asciiTheme="minorEastAsia" w:hAnsiTheme="minorEastAsia" w:eastAsiaTheme="minorEastAsia"/>
              </w:rPr>
            </w:pPr>
          </w:p>
        </w:tc>
        <w:tc>
          <w:tcPr>
            <w:tcW w:w="9062" w:type="dxa"/>
            <w:vAlign w:val="center"/>
          </w:tcPr>
          <w:p>
            <w:pPr>
              <w:widowControl w:val="0"/>
              <w:spacing w:line="276" w:lineRule="auto"/>
              <w:jc w:val="both"/>
              <w:rPr>
                <w:rFonts w:ascii="仿宋_GB2312" w:eastAsia="仿宋_GB2312"/>
              </w:rPr>
            </w:pPr>
            <w:r>
              <w:rPr>
                <w:rFonts w:eastAsia="仿宋_GB2312"/>
              </w:rPr>
              <w:t>认真落实党风廉政建设责任制，层层签订党风廉政建设责任书(未签订责任书每缺1个扣1分)</w:t>
            </w:r>
            <w:r>
              <w:rPr>
                <w:rFonts w:hint="eastAsia" w:eastAsia="仿宋_GB2312"/>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02" w:hRule="atLeast"/>
          <w:jc w:val="center"/>
        </w:trPr>
        <w:tc>
          <w:tcPr>
            <w:tcW w:w="1234" w:type="dxa"/>
            <w:vMerge w:val="continue"/>
            <w:vAlign w:val="center"/>
          </w:tcPr>
          <w:p>
            <w:pPr>
              <w:widowControl w:val="0"/>
              <w:spacing w:before="69" w:beforeLines="20" w:after="69" w:afterLines="20"/>
              <w:jc w:val="center"/>
            </w:pPr>
          </w:p>
        </w:tc>
        <w:tc>
          <w:tcPr>
            <w:tcW w:w="1770" w:type="dxa"/>
            <w:vMerge w:val="restart"/>
            <w:vAlign w:val="center"/>
          </w:tcPr>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建立惩防体系</w:t>
            </w:r>
          </w:p>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r>
              <w:rPr>
                <w:rFonts w:hint="eastAsia" w:asciiTheme="minorEastAsia" w:hAnsiTheme="minorEastAsia" w:eastAsiaTheme="minorEastAsia"/>
              </w:rPr>
              <w:t>分）</w:t>
            </w:r>
          </w:p>
        </w:tc>
        <w:tc>
          <w:tcPr>
            <w:tcW w:w="9062" w:type="dxa"/>
            <w:vAlign w:val="center"/>
          </w:tcPr>
          <w:p>
            <w:pPr>
              <w:widowControl w:val="0"/>
              <w:spacing w:line="276" w:lineRule="auto"/>
              <w:jc w:val="both"/>
              <w:rPr>
                <w:rFonts w:ascii="仿宋_GB2312" w:eastAsia="仿宋_GB2312"/>
              </w:rPr>
            </w:pPr>
            <w:r>
              <w:rPr>
                <w:rFonts w:hint="eastAsia" w:eastAsia="仿宋_GB2312"/>
              </w:rPr>
              <w:t>开展</w:t>
            </w:r>
            <w:r>
              <w:rPr>
                <w:rFonts w:eastAsia="仿宋_GB2312"/>
              </w:rPr>
              <w:t>廉政警示教育活动</w:t>
            </w:r>
            <w:r>
              <w:rPr>
                <w:rFonts w:hint="eastAsia" w:eastAsia="仿宋_GB2312"/>
              </w:rPr>
              <w:t>。</w:t>
            </w:r>
            <w:r>
              <w:rPr>
                <w:rFonts w:eastAsia="仿宋_GB2312"/>
              </w:rPr>
              <w:t>(措施每缺1个扣1分)</w:t>
            </w:r>
            <w:r>
              <w:rPr>
                <w:rFonts w:hint="eastAsia" w:eastAsia="仿宋_GB2312"/>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54" w:hRule="atLeast"/>
          <w:jc w:val="center"/>
        </w:trPr>
        <w:tc>
          <w:tcPr>
            <w:tcW w:w="1234" w:type="dxa"/>
            <w:vMerge w:val="continue"/>
            <w:vAlign w:val="center"/>
          </w:tcPr>
          <w:p>
            <w:pPr>
              <w:widowControl w:val="0"/>
              <w:spacing w:before="69" w:beforeLines="20" w:after="69" w:afterLines="20"/>
              <w:jc w:val="center"/>
            </w:pPr>
          </w:p>
        </w:tc>
        <w:tc>
          <w:tcPr>
            <w:tcW w:w="1770" w:type="dxa"/>
            <w:vMerge w:val="continue"/>
            <w:vAlign w:val="center"/>
          </w:tcPr>
          <w:p>
            <w:pPr>
              <w:widowControl w:val="0"/>
              <w:spacing w:before="69" w:beforeLines="20" w:after="69" w:afterLines="20"/>
              <w:jc w:val="both"/>
              <w:rPr>
                <w:rFonts w:asciiTheme="minorEastAsia" w:hAnsiTheme="minorEastAsia" w:eastAsiaTheme="minorEastAsia"/>
              </w:rPr>
            </w:pPr>
          </w:p>
        </w:tc>
        <w:tc>
          <w:tcPr>
            <w:tcW w:w="9062" w:type="dxa"/>
            <w:vAlign w:val="center"/>
          </w:tcPr>
          <w:p>
            <w:pPr>
              <w:widowControl w:val="0"/>
              <w:spacing w:line="276" w:lineRule="auto"/>
              <w:jc w:val="both"/>
              <w:rPr>
                <w:rFonts w:ascii="仿宋_GB2312" w:eastAsia="仿宋_GB2312"/>
              </w:rPr>
            </w:pPr>
            <w:r>
              <w:rPr>
                <w:rFonts w:eastAsia="仿宋_GB2312"/>
              </w:rPr>
              <w:t>推进学院教育、制度、监督并重的惩治和预防腐败体系建设，健全</w:t>
            </w:r>
            <w:r>
              <w:rPr>
                <w:rFonts w:hint="eastAsia" w:eastAsia="仿宋_GB2312"/>
              </w:rPr>
              <w:t>预防</w:t>
            </w:r>
            <w:r>
              <w:rPr>
                <w:rFonts w:eastAsia="仿宋_GB2312"/>
              </w:rPr>
              <w:t>腐败的长效机制(体系不健全或无机制扣2分)。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40" w:hRule="atLeast"/>
          <w:jc w:val="center"/>
        </w:trPr>
        <w:tc>
          <w:tcPr>
            <w:tcW w:w="1234" w:type="dxa"/>
            <w:vMerge w:val="continue"/>
            <w:vAlign w:val="center"/>
          </w:tcPr>
          <w:p>
            <w:pPr>
              <w:widowControl w:val="0"/>
              <w:spacing w:before="69" w:beforeLines="20" w:after="69" w:afterLines="20"/>
              <w:jc w:val="center"/>
            </w:pPr>
          </w:p>
        </w:tc>
        <w:tc>
          <w:tcPr>
            <w:tcW w:w="1770" w:type="dxa"/>
            <w:vMerge w:val="continue"/>
            <w:vAlign w:val="center"/>
          </w:tcPr>
          <w:p>
            <w:pPr>
              <w:widowControl w:val="0"/>
              <w:spacing w:before="69" w:beforeLines="20" w:after="69" w:afterLines="20"/>
              <w:jc w:val="both"/>
              <w:rPr>
                <w:rFonts w:asciiTheme="minorEastAsia" w:hAnsiTheme="minorEastAsia" w:eastAsiaTheme="minorEastAsia"/>
              </w:rPr>
            </w:pPr>
          </w:p>
        </w:tc>
        <w:tc>
          <w:tcPr>
            <w:tcW w:w="9062" w:type="dxa"/>
            <w:vAlign w:val="center"/>
          </w:tcPr>
          <w:p>
            <w:pPr>
              <w:widowControl w:val="0"/>
              <w:spacing w:line="276" w:lineRule="auto"/>
              <w:jc w:val="both"/>
              <w:rPr>
                <w:rFonts w:ascii="仿宋_GB2312" w:eastAsia="仿宋_GB2312"/>
              </w:rPr>
            </w:pPr>
            <w:r>
              <w:rPr>
                <w:rFonts w:hint="eastAsia" w:eastAsia="仿宋_GB2312"/>
              </w:rPr>
              <w:t>做好廉政档案建设。未建立或达不到管理要求，减1分。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76" w:hRule="atLeast"/>
          <w:jc w:val="center"/>
        </w:trPr>
        <w:tc>
          <w:tcPr>
            <w:tcW w:w="1234" w:type="dxa"/>
            <w:vMerge w:val="restart"/>
            <w:vAlign w:val="center"/>
          </w:tcPr>
          <w:p>
            <w:pPr>
              <w:widowControl w:val="0"/>
              <w:spacing w:before="69" w:beforeLines="20" w:after="69" w:afterLines="20"/>
              <w:jc w:val="center"/>
              <w:rPr>
                <w:rFonts w:hint="eastAsia" w:asciiTheme="minorEastAsia" w:hAnsiTheme="minorEastAsia" w:eastAsiaTheme="minorEastAsia"/>
              </w:rPr>
            </w:pPr>
            <w:r>
              <w:rPr>
                <w:rFonts w:hint="eastAsia" w:asciiTheme="minorEastAsia" w:hAnsiTheme="minorEastAsia" w:eastAsiaTheme="minorEastAsia"/>
              </w:rPr>
              <w:t>组织</w:t>
            </w:r>
          </w:p>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人事部</w:t>
            </w:r>
          </w:p>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履职指标</w:t>
            </w:r>
          </w:p>
        </w:tc>
        <w:tc>
          <w:tcPr>
            <w:tcW w:w="1770" w:type="dxa"/>
            <w:vAlign w:val="center"/>
          </w:tcPr>
          <w:p>
            <w:pPr>
              <w:widowControl w:val="0"/>
              <w:spacing w:before="69" w:beforeLines="20" w:after="69" w:afterLines="20"/>
              <w:jc w:val="center"/>
            </w:pPr>
            <w:r>
              <w:t>党员教育管理</w:t>
            </w:r>
          </w:p>
          <w:p>
            <w:pPr>
              <w:widowControl w:val="0"/>
              <w:spacing w:before="69" w:beforeLines="20" w:after="69" w:afterLines="20"/>
              <w:jc w:val="center"/>
              <w:rPr>
                <w:rFonts w:asciiTheme="minorEastAsia" w:hAnsiTheme="minorEastAsia" w:eastAsiaTheme="minorEastAsia"/>
              </w:rPr>
            </w:pPr>
            <w:r>
              <w:rPr>
                <w:rFonts w:hint="eastAsia"/>
              </w:rPr>
              <w:t>（20分）</w:t>
            </w:r>
          </w:p>
        </w:tc>
        <w:tc>
          <w:tcPr>
            <w:tcW w:w="9062" w:type="dxa"/>
            <w:vAlign w:val="center"/>
          </w:tcPr>
          <w:p>
            <w:pPr>
              <w:widowControl w:val="0"/>
              <w:spacing w:before="69" w:beforeLines="20" w:after="69" w:afterLines="20"/>
              <w:jc w:val="both"/>
            </w:pPr>
            <w:r>
              <w:rPr>
                <w:rFonts w:hint="eastAsia" w:eastAsia="仿宋_GB2312"/>
              </w:rPr>
              <w:t>统筹</w:t>
            </w:r>
            <w:r>
              <w:rPr>
                <w:rFonts w:eastAsia="仿宋_GB2312"/>
              </w:rPr>
              <w:t>全院基层党组织建设，做好总支、支部的设置、组成及换届选举工作(设置不合适影响工作开展或不及时换届，扣1分)；组织落实好民主生活会</w:t>
            </w:r>
            <w:r>
              <w:rPr>
                <w:rFonts w:hint="eastAsia" w:eastAsia="仿宋_GB2312"/>
              </w:rPr>
              <w:t>、</w:t>
            </w:r>
            <w:r>
              <w:rPr>
                <w:rFonts w:eastAsia="仿宋_GB2312"/>
              </w:rPr>
              <w:t>组织生活会，抓好班子的思想、作风建设(不落实、无行动扣1分)；</w:t>
            </w:r>
            <w:r>
              <w:rPr>
                <w:rFonts w:hint="eastAsia" w:eastAsia="仿宋_GB2312"/>
              </w:rPr>
              <w:t>指导开展政治业务学习</w:t>
            </w:r>
            <w:r>
              <w:rPr>
                <w:rFonts w:eastAsia="仿宋_GB2312"/>
              </w:rPr>
              <w:t>；加强在大学生、优秀青年教师中发展党员工作；做好党费收缴、组织关系接转和党员统计报表工作(出现差错1次扣1分)</w:t>
            </w:r>
            <w:r>
              <w:rPr>
                <w:rFonts w:hint="eastAsia" w:eastAsia="仿宋_GB2312"/>
              </w:rPr>
              <w:t>。</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left"/>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47" w:hRule="atLeast"/>
          <w:jc w:val="center"/>
        </w:trPr>
        <w:tc>
          <w:tcPr>
            <w:tcW w:w="1234" w:type="dxa"/>
            <w:vMerge w:val="continue"/>
          </w:tcPr>
          <w:p>
            <w:pPr>
              <w:widowControl w:val="0"/>
              <w:spacing w:before="69" w:beforeLines="20" w:after="69" w:afterLines="20"/>
              <w:jc w:val="center"/>
            </w:pPr>
          </w:p>
        </w:tc>
        <w:tc>
          <w:tcPr>
            <w:tcW w:w="1770" w:type="dxa"/>
            <w:vAlign w:val="center"/>
          </w:tcPr>
          <w:p>
            <w:pPr>
              <w:widowControl w:val="0"/>
              <w:spacing w:before="69" w:beforeLines="20" w:after="69" w:afterLines="20"/>
              <w:jc w:val="center"/>
              <w:rPr>
                <w:rFonts w:asciiTheme="minorEastAsia" w:hAnsiTheme="minorEastAsia" w:eastAsiaTheme="minorEastAsia"/>
              </w:rPr>
            </w:pPr>
            <w:r>
              <w:t>干部队伍建设</w:t>
            </w:r>
          </w:p>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（20分）</w:t>
            </w:r>
          </w:p>
        </w:tc>
        <w:tc>
          <w:tcPr>
            <w:tcW w:w="9062" w:type="dxa"/>
            <w:vAlign w:val="center"/>
          </w:tcPr>
          <w:p>
            <w:pPr>
              <w:widowControl w:val="0"/>
              <w:spacing w:before="69" w:beforeLines="20" w:after="69" w:afterLines="20"/>
              <w:jc w:val="both"/>
              <w:rPr>
                <w:rFonts w:eastAsia="仿宋_GB2312"/>
              </w:rPr>
            </w:pPr>
            <w:r>
              <w:rPr>
                <w:rFonts w:eastAsia="仿宋_GB2312"/>
              </w:rPr>
              <w:t>做好干部的选拔任用和考核管理</w:t>
            </w:r>
            <w:r>
              <w:rPr>
                <w:rFonts w:hint="eastAsia" w:eastAsia="仿宋_GB2312"/>
              </w:rPr>
              <w:t>、</w:t>
            </w:r>
            <w:r>
              <w:rPr>
                <w:rFonts w:eastAsia="仿宋_GB2312"/>
              </w:rPr>
              <w:t>教育和培训工作</w:t>
            </w:r>
            <w:r>
              <w:rPr>
                <w:rFonts w:hint="eastAsia" w:eastAsia="仿宋_GB2312"/>
              </w:rPr>
              <w:t>。</w:t>
            </w:r>
            <w:r>
              <w:rPr>
                <w:rFonts w:eastAsia="仿宋_GB2312"/>
              </w:rPr>
              <w:t>(无规划或计划扣1分)，教育活动一年至少两次（缺1次扣1分)；</w:t>
            </w:r>
            <w:r>
              <w:rPr>
                <w:rFonts w:hint="eastAsia" w:eastAsia="仿宋_GB2312"/>
              </w:rPr>
              <w:t>严格按规定对干部进行管理考核，不按规定对干部管理与考核（每人次减0.5分）。调整岗位的干部按规定办理交接手续（没有办理减0.5分）。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83" w:hRule="atLeast"/>
          <w:jc w:val="center"/>
        </w:trPr>
        <w:tc>
          <w:tcPr>
            <w:tcW w:w="1234" w:type="dxa"/>
            <w:vMerge w:val="continue"/>
          </w:tcPr>
          <w:p>
            <w:pPr>
              <w:widowControl w:val="0"/>
              <w:spacing w:before="69" w:beforeLines="20" w:after="69" w:afterLines="20"/>
              <w:jc w:val="center"/>
            </w:pPr>
          </w:p>
        </w:tc>
        <w:tc>
          <w:tcPr>
            <w:tcW w:w="1770" w:type="dxa"/>
            <w:vAlign w:val="center"/>
          </w:tcPr>
          <w:p>
            <w:pPr>
              <w:widowControl w:val="0"/>
              <w:jc w:val="center"/>
            </w:pPr>
            <w:r>
              <w:rPr>
                <w:rFonts w:hint="eastAsia"/>
              </w:rPr>
              <w:t>师资队伍建设</w:t>
            </w:r>
          </w:p>
          <w:p>
            <w:pPr>
              <w:widowControl w:val="0"/>
              <w:spacing w:before="69" w:beforeLines="20" w:after="69" w:afterLines="20"/>
              <w:jc w:val="center"/>
              <w:rPr>
                <w:rFonts w:asciiTheme="minorEastAsia" w:hAnsiTheme="minorEastAsia" w:eastAsiaTheme="minorEastAsia"/>
              </w:rPr>
            </w:pPr>
            <w:r>
              <w:rPr>
                <w:rFonts w:hint="eastAsia" w:eastAsia="仿宋_GB2312"/>
              </w:rPr>
              <w:t>（20分）</w:t>
            </w:r>
          </w:p>
        </w:tc>
        <w:tc>
          <w:tcPr>
            <w:tcW w:w="9062" w:type="dxa"/>
            <w:vAlign w:val="center"/>
          </w:tcPr>
          <w:p>
            <w:pPr>
              <w:widowControl w:val="0"/>
              <w:spacing w:before="69" w:beforeLines="20" w:after="69" w:afterLines="20"/>
              <w:jc w:val="both"/>
              <w:rPr>
                <w:rFonts w:eastAsia="仿宋_GB2312"/>
              </w:rPr>
            </w:pPr>
            <w:r>
              <w:rPr>
                <w:rFonts w:eastAsia="仿宋_GB2312"/>
              </w:rPr>
              <w:t>根据需要</w:t>
            </w:r>
            <w:r>
              <w:rPr>
                <w:rFonts w:hint="eastAsia" w:eastAsia="仿宋_GB2312"/>
              </w:rPr>
              <w:t>抓</w:t>
            </w:r>
            <w:r>
              <w:rPr>
                <w:rFonts w:eastAsia="仿宋_GB2312"/>
              </w:rPr>
              <w:t>好机构设置</w:t>
            </w:r>
            <w:r>
              <w:rPr>
                <w:rFonts w:hint="eastAsia" w:eastAsia="仿宋_GB2312"/>
              </w:rPr>
              <w:t>、</w:t>
            </w:r>
            <w:r>
              <w:rPr>
                <w:rFonts w:eastAsia="仿宋_GB2312"/>
              </w:rPr>
              <w:t>人员调配，保证全院工作</w:t>
            </w:r>
            <w:r>
              <w:rPr>
                <w:rFonts w:hint="eastAsia" w:eastAsia="仿宋_GB2312"/>
              </w:rPr>
              <w:t>顺利运行</w:t>
            </w:r>
            <w:r>
              <w:rPr>
                <w:rFonts w:eastAsia="仿宋_GB2312"/>
              </w:rPr>
              <w:t>(人员情况不清、人员调配不合理，反响较大，扣2分)</w:t>
            </w:r>
            <w:r>
              <w:rPr>
                <w:rFonts w:hint="eastAsia" w:eastAsia="仿宋_GB2312"/>
              </w:rPr>
              <w:t xml:space="preserve"> ；</w:t>
            </w:r>
            <w:r>
              <w:rPr>
                <w:rFonts w:eastAsia="仿宋_GB2312"/>
              </w:rPr>
              <w:t>试行全员聘任制(工作无进展，扣1分)</w:t>
            </w:r>
            <w:r>
              <w:rPr>
                <w:rFonts w:hint="eastAsia" w:eastAsia="仿宋_GB2312"/>
              </w:rPr>
              <w:t>；</w:t>
            </w:r>
            <w:r>
              <w:rPr>
                <w:rFonts w:eastAsia="仿宋_GB2312"/>
              </w:rPr>
              <w:t>制定高学历人才引进计划，</w:t>
            </w:r>
            <w:r>
              <w:rPr>
                <w:rFonts w:hint="eastAsia" w:eastAsia="仿宋_GB2312"/>
              </w:rPr>
              <w:t>落实</w:t>
            </w:r>
            <w:r>
              <w:rPr>
                <w:rFonts w:eastAsia="仿宋_GB2312"/>
              </w:rPr>
              <w:t>引进人才自主权(无计划、不协调或无效果扣1分)；做好教师的培训</w:t>
            </w:r>
            <w:r>
              <w:rPr>
                <w:rFonts w:hint="eastAsia" w:eastAsia="仿宋_GB2312"/>
              </w:rPr>
              <w:t>工作计划并落实。</w:t>
            </w:r>
            <w:r>
              <w:rPr>
                <w:rFonts w:eastAsia="仿宋_GB2312"/>
              </w:rPr>
              <w:t>(无计划或学期内无行动，扣1分)；做好</w:t>
            </w:r>
            <w:r>
              <w:rPr>
                <w:rFonts w:hint="eastAsia" w:eastAsia="仿宋_GB2312"/>
              </w:rPr>
              <w:t>专业</w:t>
            </w:r>
            <w:r>
              <w:rPr>
                <w:rFonts w:eastAsia="仿宋_GB2312"/>
              </w:rPr>
              <w:t>带头人、骨干教师、“双师型”教师</w:t>
            </w:r>
            <w:r>
              <w:rPr>
                <w:rFonts w:hint="eastAsia" w:eastAsia="仿宋_GB2312"/>
              </w:rPr>
              <w:t>、教学名师、教学团队</w:t>
            </w:r>
            <w:r>
              <w:rPr>
                <w:rFonts w:eastAsia="仿宋_GB2312"/>
              </w:rPr>
              <w:t>等评选、认定和管理工作(认定不及时或认定、管理中出差错，1项次扣1分)。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35" w:hRule="atLeast"/>
          <w:jc w:val="center"/>
        </w:trPr>
        <w:tc>
          <w:tcPr>
            <w:tcW w:w="1234" w:type="dxa"/>
            <w:vMerge w:val="continue"/>
          </w:tcPr>
          <w:p>
            <w:pPr>
              <w:widowControl w:val="0"/>
              <w:spacing w:before="69" w:beforeLines="20" w:after="69" w:afterLines="20"/>
              <w:jc w:val="center"/>
            </w:pPr>
          </w:p>
        </w:tc>
        <w:tc>
          <w:tcPr>
            <w:tcW w:w="1770" w:type="dxa"/>
            <w:vAlign w:val="center"/>
          </w:tcPr>
          <w:p>
            <w:pPr>
              <w:widowControl w:val="0"/>
              <w:spacing w:before="69" w:beforeLines="20" w:after="69" w:afterLines="20"/>
              <w:jc w:val="center"/>
            </w:pPr>
            <w:r>
              <w:rPr>
                <w:rFonts w:hint="eastAsia"/>
              </w:rPr>
              <w:t>人事</w:t>
            </w:r>
            <w:r>
              <w:t>劳资管理</w:t>
            </w:r>
          </w:p>
          <w:p>
            <w:pPr>
              <w:widowControl w:val="0"/>
              <w:spacing w:before="69" w:beforeLines="20" w:after="69" w:afterLines="20"/>
              <w:jc w:val="center"/>
              <w:rPr>
                <w:rFonts w:asciiTheme="minorEastAsia" w:hAnsiTheme="minorEastAsia" w:eastAsiaTheme="minorEastAsia"/>
              </w:rPr>
            </w:pPr>
            <w:r>
              <w:rPr>
                <w:rFonts w:hint="eastAsia"/>
              </w:rPr>
              <w:t>（20分）</w:t>
            </w:r>
          </w:p>
        </w:tc>
        <w:tc>
          <w:tcPr>
            <w:tcW w:w="9062" w:type="dxa"/>
            <w:vAlign w:val="center"/>
          </w:tcPr>
          <w:p>
            <w:pPr>
              <w:widowControl w:val="0"/>
              <w:spacing w:before="69" w:beforeLines="20" w:after="69" w:afterLines="20"/>
              <w:jc w:val="both"/>
              <w:rPr>
                <w:rFonts w:hint="eastAsia" w:eastAsia="仿宋_GB2312"/>
                <w:lang w:eastAsia="zh-CN"/>
              </w:rPr>
            </w:pPr>
            <w:r>
              <w:rPr>
                <w:rFonts w:eastAsia="仿宋_GB2312"/>
              </w:rPr>
              <w:t>做好各类人员的人事档案管理以及工资、津贴、社会保障等方面的工作(工作不及时或出现1人次错漏扣1分)；做好教职工年度考核和评先树优工作，(办法不公平合理，造成群体上访事件，扣2分</w:t>
            </w:r>
            <w:r>
              <w:rPr>
                <w:rFonts w:hint="eastAsia" w:eastAsia="仿宋_GB2312"/>
              </w:rPr>
              <w:t>。</w:t>
            </w:r>
            <w:r>
              <w:rPr>
                <w:rFonts w:eastAsia="仿宋_GB2312"/>
              </w:rPr>
              <w:t>做好专业技术资格认定和专业技术职务评聘等相关的工作(通知、调度不及时或出现差错，1次扣1分)</w:t>
            </w:r>
            <w:r>
              <w:rPr>
                <w:rFonts w:hint="eastAsia"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88" w:hRule="atLeast"/>
          <w:jc w:val="center"/>
        </w:trPr>
        <w:tc>
          <w:tcPr>
            <w:tcW w:w="1234" w:type="dxa"/>
            <w:vMerge w:val="continue"/>
          </w:tcPr>
          <w:p>
            <w:pPr>
              <w:widowControl w:val="0"/>
              <w:spacing w:before="69" w:beforeLines="20" w:after="69" w:afterLines="20"/>
              <w:jc w:val="center"/>
            </w:pPr>
          </w:p>
        </w:tc>
        <w:tc>
          <w:tcPr>
            <w:tcW w:w="1770" w:type="dxa"/>
            <w:vAlign w:val="center"/>
          </w:tcPr>
          <w:p>
            <w:pPr>
              <w:widowControl w:val="0"/>
              <w:spacing w:before="69" w:beforeLines="20" w:after="69" w:afterLines="20"/>
              <w:jc w:val="center"/>
            </w:pPr>
            <w:r>
              <w:rPr>
                <w:rFonts w:hint="eastAsia"/>
              </w:rPr>
              <w:t>离退休和</w:t>
            </w:r>
            <w:r>
              <w:t>统战</w:t>
            </w:r>
          </w:p>
          <w:p>
            <w:pPr>
              <w:widowControl w:val="0"/>
              <w:spacing w:before="69" w:beforeLines="20" w:after="69" w:afterLines="20"/>
              <w:jc w:val="center"/>
              <w:rPr>
                <w:rFonts w:asciiTheme="minorEastAsia" w:hAnsiTheme="minorEastAsia" w:eastAsiaTheme="minorEastAsia"/>
              </w:rPr>
            </w:pPr>
            <w:r>
              <w:t>工作</w:t>
            </w:r>
            <w:r>
              <w:rPr>
                <w:rFonts w:hint="eastAsia"/>
              </w:rPr>
              <w:t>（20分）</w:t>
            </w:r>
          </w:p>
        </w:tc>
        <w:tc>
          <w:tcPr>
            <w:tcW w:w="9062" w:type="dxa"/>
            <w:vAlign w:val="center"/>
          </w:tcPr>
          <w:p>
            <w:pPr>
              <w:widowControl w:val="0"/>
              <w:spacing w:before="69" w:beforeLines="20" w:after="69" w:afterLines="20"/>
              <w:jc w:val="both"/>
              <w:rPr>
                <w:rFonts w:eastAsia="仿宋_GB2312"/>
              </w:rPr>
            </w:pPr>
            <w:r>
              <w:rPr>
                <w:rFonts w:hint="eastAsia" w:eastAsia="仿宋_GB2312"/>
              </w:rPr>
              <w:t>制订</w:t>
            </w:r>
            <w:r>
              <w:rPr>
                <w:rFonts w:eastAsia="仿宋_GB2312"/>
              </w:rPr>
              <w:t>学院统战工作计划，宣传党的统战路线政策，听取</w:t>
            </w:r>
            <w:r>
              <w:rPr>
                <w:rFonts w:hint="eastAsia" w:eastAsia="仿宋_GB2312"/>
              </w:rPr>
              <w:t>汇总</w:t>
            </w:r>
            <w:r>
              <w:rPr>
                <w:rFonts w:eastAsia="仿宋_GB2312"/>
              </w:rPr>
              <w:t>党外人士的意见和建议，做好党外干部培养、民族、宗教、侨务等工作</w:t>
            </w:r>
            <w:r>
              <w:rPr>
                <w:rFonts w:hint="eastAsia" w:eastAsia="仿宋_GB2312"/>
              </w:rPr>
              <w:t>。做好老干部的管理和服务工作；做好人员退休工作，及时核定教职工的退休、退职、伤残、丧葬、抚恤金等各种费用(不及时或出现差错，1次扣1分)。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67" w:hRule="atLeast"/>
          <w:jc w:val="center"/>
        </w:trPr>
        <w:tc>
          <w:tcPr>
            <w:tcW w:w="1234" w:type="dxa"/>
            <w:vMerge w:val="restart"/>
            <w:vAlign w:val="center"/>
          </w:tcPr>
          <w:p>
            <w:pPr>
              <w:widowControl w:val="0"/>
              <w:spacing w:before="69" w:beforeLines="20" w:after="69" w:afterLines="20"/>
              <w:jc w:val="center"/>
              <w:rPr>
                <w:rFonts w:cs="宋体" w:asciiTheme="minorEastAsia" w:hAnsiTheme="minorEastAsia" w:eastAsiaTheme="minorEastAsia"/>
              </w:rPr>
            </w:pPr>
            <w:r>
              <w:rPr>
                <w:rFonts w:hint="eastAsia" w:cs="宋体" w:asciiTheme="minorEastAsia" w:hAnsiTheme="minorEastAsia" w:eastAsiaTheme="minorEastAsia"/>
              </w:rPr>
              <w:t>宣传部</w:t>
            </w:r>
          </w:p>
          <w:p>
            <w:pPr>
              <w:widowControl w:val="0"/>
              <w:spacing w:before="69" w:beforeLines="20" w:after="69" w:afterLines="20"/>
              <w:jc w:val="center"/>
              <w:rPr>
                <w:rFonts w:cs="宋体" w:asciiTheme="minorEastAsia" w:hAnsiTheme="minorEastAsia" w:eastAsiaTheme="minorEastAsia"/>
              </w:rPr>
            </w:pPr>
            <w:r>
              <w:rPr>
                <w:rFonts w:hint="eastAsia" w:cs="宋体" w:asciiTheme="minorEastAsia" w:hAnsiTheme="minorEastAsia" w:eastAsiaTheme="minorEastAsia"/>
              </w:rPr>
              <w:t>履职指标</w:t>
            </w:r>
          </w:p>
          <w:p>
            <w:pPr>
              <w:widowControl w:val="0"/>
              <w:spacing w:before="69" w:beforeLines="20" w:after="69" w:afterLines="20"/>
              <w:jc w:val="center"/>
              <w:rPr>
                <w:rFonts w:cs="宋体" w:asciiTheme="minorEastAsia" w:hAnsiTheme="minorEastAsia" w:eastAsiaTheme="minorEastAsia"/>
              </w:rPr>
            </w:pPr>
          </w:p>
        </w:tc>
        <w:tc>
          <w:tcPr>
            <w:tcW w:w="1770" w:type="dxa"/>
            <w:vMerge w:val="restart"/>
            <w:vAlign w:val="center"/>
          </w:tcPr>
          <w:p>
            <w:pPr>
              <w:widowControl w:val="0"/>
              <w:jc w:val="center"/>
              <w:rPr>
                <w:rFonts w:cs="宋体" w:asciiTheme="minorEastAsia" w:hAnsiTheme="minorEastAsia" w:eastAsiaTheme="minorEastAsia"/>
              </w:rPr>
            </w:pPr>
            <w:r>
              <w:rPr>
                <w:rFonts w:hint="eastAsia" w:cs="宋体" w:asciiTheme="minorEastAsia" w:hAnsiTheme="minorEastAsia" w:eastAsiaTheme="minorEastAsia"/>
              </w:rPr>
              <w:t>新闻宣传工作</w:t>
            </w:r>
          </w:p>
          <w:p>
            <w:pPr>
              <w:widowControl w:val="0"/>
              <w:jc w:val="center"/>
              <w:rPr>
                <w:rFonts w:cs="宋体" w:asciiTheme="minorEastAsia" w:hAnsiTheme="minorEastAsia" w:eastAsiaTheme="minorEastAsia"/>
              </w:rPr>
            </w:pPr>
            <w:r>
              <w:rPr>
                <w:rFonts w:hint="eastAsia" w:cs="宋体" w:asciiTheme="minorEastAsia" w:hAnsiTheme="minorEastAsia" w:eastAsiaTheme="minorEastAsia"/>
              </w:rPr>
              <w:t>（20分）</w:t>
            </w:r>
          </w:p>
        </w:tc>
        <w:tc>
          <w:tcPr>
            <w:tcW w:w="9062" w:type="dxa"/>
            <w:vAlign w:val="center"/>
          </w:tcPr>
          <w:p>
            <w:pPr>
              <w:widowControl w:val="0"/>
              <w:spacing w:before="52" w:beforeLines="15" w:after="52" w:afterLines="15" w:line="308" w:lineRule="exact"/>
              <w:jc w:val="both"/>
              <w:rPr>
                <w:rFonts w:hint="eastAsia" w:ascii="仿宋_GB2312" w:eastAsia="仿宋_GB2312"/>
                <w:lang w:eastAsia="zh-CN"/>
              </w:rPr>
            </w:pPr>
            <w:r>
              <w:rPr>
                <w:rFonts w:hint="eastAsia" w:ascii="仿宋_GB2312" w:eastAsia="仿宋_GB2312"/>
              </w:rPr>
              <w:t>充分利用各种媒体宣传学院的改革发展成果，扩大学院知名度和影响力，全年至少有4篇新闻或报道刊登在省级主流媒体，达不到规定篇目每缺一篇减1分；每学期至少两次(少1次扣1分)</w:t>
            </w:r>
            <w:r>
              <w:rPr>
                <w:rFonts w:hint="eastAsia" w:ascii="仿宋_GB2312" w:eastAsia="仿宋_GB2312"/>
                <w:lang w:eastAsia="zh-CN"/>
              </w:rPr>
              <w:t>。</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left"/>
              <w:rPr>
                <w:rFonts w:ascii="仿宋_GB2312" w:eastAsia="仿宋_GB2312"/>
              </w:rPr>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1" w:hRule="atLeast"/>
          <w:jc w:val="center"/>
        </w:trPr>
        <w:tc>
          <w:tcPr>
            <w:tcW w:w="1234" w:type="dxa"/>
            <w:vMerge w:val="continue"/>
            <w:vAlign w:val="center"/>
          </w:tcPr>
          <w:p>
            <w:pPr>
              <w:widowControl w:val="0"/>
              <w:spacing w:before="69" w:beforeLines="20" w:after="69" w:afterLines="20"/>
              <w:jc w:val="both"/>
              <w:rPr>
                <w:rFonts w:cs="宋体" w:asciiTheme="minorEastAsia" w:hAnsiTheme="minorEastAsia" w:eastAsiaTheme="minorEastAsia"/>
              </w:rPr>
            </w:pPr>
          </w:p>
        </w:tc>
        <w:tc>
          <w:tcPr>
            <w:tcW w:w="1770" w:type="dxa"/>
            <w:vMerge w:val="continue"/>
            <w:vAlign w:val="center"/>
          </w:tcPr>
          <w:p>
            <w:pPr>
              <w:widowControl w:val="0"/>
              <w:numPr>
                <w:ilvl w:val="0"/>
                <w:numId w:val="1"/>
              </w:numPr>
              <w:spacing w:before="69" w:beforeLines="20" w:after="69" w:afterLines="20"/>
              <w:ind w:left="33"/>
              <w:jc w:val="center"/>
              <w:rPr>
                <w:rFonts w:cs="宋体" w:asciiTheme="minorEastAsia" w:hAnsiTheme="minorEastAsia" w:eastAsiaTheme="minorEastAsia"/>
              </w:rPr>
            </w:pPr>
          </w:p>
        </w:tc>
        <w:tc>
          <w:tcPr>
            <w:tcW w:w="9062" w:type="dxa"/>
            <w:vAlign w:val="center"/>
          </w:tcPr>
          <w:p>
            <w:pPr>
              <w:widowControl w:val="0"/>
              <w:spacing w:before="52" w:beforeLines="15" w:after="52" w:afterLines="15" w:line="308" w:lineRule="exact"/>
              <w:jc w:val="both"/>
              <w:rPr>
                <w:rFonts w:ascii="仿宋_GB2312" w:eastAsia="仿宋_GB2312"/>
              </w:rPr>
            </w:pPr>
            <w:r>
              <w:rPr>
                <w:rFonts w:hint="eastAsia" w:ascii="仿宋_GB2312" w:eastAsia="仿宋_GB2312"/>
              </w:rPr>
              <w:t>做好院报的编印出版工作(出现差错1次扣2分)。院报每年10期，每少一期减0.5分，出现重大失误每次减1分。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8" w:hRule="atLeast"/>
          <w:jc w:val="center"/>
        </w:trPr>
        <w:tc>
          <w:tcPr>
            <w:tcW w:w="1234" w:type="dxa"/>
            <w:vMerge w:val="continue"/>
            <w:vAlign w:val="center"/>
          </w:tcPr>
          <w:p>
            <w:pPr>
              <w:widowControl w:val="0"/>
              <w:spacing w:before="69" w:beforeLines="20" w:after="69" w:afterLines="20"/>
              <w:jc w:val="both"/>
              <w:rPr>
                <w:rFonts w:cs="宋体" w:asciiTheme="minorEastAsia" w:hAnsiTheme="minorEastAsia" w:eastAsiaTheme="minorEastAsia"/>
              </w:rPr>
            </w:pPr>
          </w:p>
        </w:tc>
        <w:tc>
          <w:tcPr>
            <w:tcW w:w="1770" w:type="dxa"/>
            <w:vMerge w:val="continue"/>
            <w:vAlign w:val="center"/>
          </w:tcPr>
          <w:p>
            <w:pPr>
              <w:widowControl w:val="0"/>
              <w:spacing w:before="69" w:beforeLines="20" w:after="69" w:afterLines="20"/>
              <w:jc w:val="center"/>
              <w:rPr>
                <w:rFonts w:cs="宋体" w:asciiTheme="minorEastAsia" w:hAnsiTheme="minorEastAsia" w:eastAsiaTheme="minorEastAsia"/>
              </w:rPr>
            </w:pPr>
          </w:p>
        </w:tc>
        <w:tc>
          <w:tcPr>
            <w:tcW w:w="9062" w:type="dxa"/>
            <w:vAlign w:val="center"/>
          </w:tcPr>
          <w:p>
            <w:pPr>
              <w:widowControl w:val="0"/>
              <w:spacing w:before="52" w:beforeLines="15" w:after="52" w:afterLines="15" w:line="308" w:lineRule="exact"/>
              <w:jc w:val="both"/>
              <w:rPr>
                <w:rFonts w:ascii="仿宋_GB2312" w:eastAsia="仿宋_GB2312"/>
              </w:rPr>
            </w:pPr>
            <w:r>
              <w:rPr>
                <w:rFonts w:hint="eastAsia" w:ascii="仿宋_GB2312" w:eastAsia="仿宋_GB2312"/>
              </w:rPr>
              <w:t>做好学院宣传栏管理工作，宣传栏登记造册、平时检查有记录；宣传栏每学期至少更换2次。每缺一项（次）减1分。（不可抗力因素除外）</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74" w:hRule="atLeast"/>
          <w:jc w:val="center"/>
        </w:trPr>
        <w:tc>
          <w:tcPr>
            <w:tcW w:w="1234" w:type="dxa"/>
            <w:vMerge w:val="continue"/>
            <w:vAlign w:val="center"/>
          </w:tcPr>
          <w:p>
            <w:pPr>
              <w:widowControl w:val="0"/>
              <w:spacing w:before="69" w:beforeLines="20" w:after="69" w:afterLines="20"/>
              <w:jc w:val="both"/>
              <w:rPr>
                <w:rFonts w:cs="宋体" w:asciiTheme="minorEastAsia" w:hAnsiTheme="minorEastAsia" w:eastAsiaTheme="minorEastAsia"/>
              </w:rPr>
            </w:pPr>
          </w:p>
        </w:tc>
        <w:tc>
          <w:tcPr>
            <w:tcW w:w="1770" w:type="dxa"/>
            <w:vMerge w:val="restart"/>
            <w:vAlign w:val="center"/>
          </w:tcPr>
          <w:p>
            <w:pPr>
              <w:widowControl w:val="0"/>
              <w:spacing w:before="69" w:beforeLines="20" w:after="69" w:afterLines="20"/>
              <w:jc w:val="center"/>
              <w:rPr>
                <w:rFonts w:cs="宋体" w:asciiTheme="minorEastAsia" w:hAnsiTheme="minorEastAsia" w:eastAsiaTheme="minorEastAsia"/>
              </w:rPr>
            </w:pPr>
            <w:r>
              <w:rPr>
                <w:rFonts w:hint="eastAsia" w:cs="宋体" w:asciiTheme="minorEastAsia" w:hAnsiTheme="minorEastAsia" w:eastAsiaTheme="minorEastAsia"/>
              </w:rPr>
              <w:t>信息化建设</w:t>
            </w:r>
          </w:p>
          <w:p>
            <w:pPr>
              <w:widowControl w:val="0"/>
              <w:spacing w:before="69" w:beforeLines="20" w:after="69" w:afterLines="20"/>
              <w:jc w:val="center"/>
              <w:rPr>
                <w:rFonts w:cs="宋体" w:asciiTheme="minorEastAsia" w:hAnsiTheme="minorEastAsia" w:eastAsiaTheme="minorEastAsia"/>
              </w:rPr>
            </w:pPr>
            <w:r>
              <w:rPr>
                <w:rFonts w:hint="eastAsia" w:cs="宋体" w:asciiTheme="minorEastAsia" w:hAnsiTheme="minorEastAsia" w:eastAsiaTheme="minorEastAsia"/>
              </w:rPr>
              <w:t>（20分）</w:t>
            </w:r>
          </w:p>
        </w:tc>
        <w:tc>
          <w:tcPr>
            <w:tcW w:w="9062" w:type="dxa"/>
            <w:vAlign w:val="center"/>
          </w:tcPr>
          <w:p>
            <w:pPr>
              <w:widowControl w:val="0"/>
              <w:spacing w:before="52" w:beforeLines="15" w:after="52" w:afterLines="15" w:line="308" w:lineRule="exact"/>
              <w:jc w:val="both"/>
              <w:rPr>
                <w:rFonts w:hint="eastAsia" w:ascii="仿宋_GB2312" w:eastAsia="仿宋_GB2312"/>
                <w:lang w:eastAsia="zh-CN"/>
              </w:rPr>
            </w:pPr>
            <w:r>
              <w:rPr>
                <w:rFonts w:hint="eastAsia" w:ascii="仿宋_GB2312" w:eastAsia="仿宋_GB2312"/>
              </w:rPr>
              <w:t>网站管理规范、网站内容更新快、网络运行正常</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2" w:hRule="atLeast"/>
          <w:jc w:val="center"/>
        </w:trPr>
        <w:tc>
          <w:tcPr>
            <w:tcW w:w="1234" w:type="dxa"/>
            <w:vMerge w:val="continue"/>
            <w:vAlign w:val="center"/>
          </w:tcPr>
          <w:p>
            <w:pPr>
              <w:widowControl w:val="0"/>
              <w:spacing w:before="69" w:beforeLines="20" w:after="69" w:afterLines="20"/>
              <w:jc w:val="both"/>
              <w:rPr>
                <w:rFonts w:cs="宋体" w:asciiTheme="minorEastAsia" w:hAnsiTheme="minorEastAsia" w:eastAsiaTheme="minorEastAsia"/>
              </w:rPr>
            </w:pPr>
          </w:p>
        </w:tc>
        <w:tc>
          <w:tcPr>
            <w:tcW w:w="1770" w:type="dxa"/>
            <w:vMerge w:val="continue"/>
            <w:vAlign w:val="center"/>
          </w:tcPr>
          <w:p>
            <w:pPr>
              <w:widowControl w:val="0"/>
              <w:spacing w:before="69" w:beforeLines="20" w:after="69" w:afterLines="20"/>
              <w:jc w:val="center"/>
              <w:rPr>
                <w:rFonts w:cs="宋体" w:asciiTheme="minorEastAsia" w:hAnsiTheme="minorEastAsia" w:eastAsiaTheme="minorEastAsia"/>
              </w:rPr>
            </w:pPr>
          </w:p>
        </w:tc>
        <w:tc>
          <w:tcPr>
            <w:tcW w:w="9062" w:type="dxa"/>
            <w:vAlign w:val="center"/>
          </w:tcPr>
          <w:p>
            <w:pPr>
              <w:widowControl w:val="0"/>
              <w:spacing w:before="52" w:beforeLines="15" w:after="52" w:afterLines="15" w:line="308" w:lineRule="exact"/>
              <w:jc w:val="both"/>
              <w:rPr>
                <w:rFonts w:ascii="仿宋_GB2312" w:eastAsia="仿宋_GB2312"/>
              </w:rPr>
            </w:pPr>
            <w:r>
              <w:rPr>
                <w:rFonts w:hint="eastAsia" w:ascii="仿宋_GB2312" w:eastAsia="仿宋_GB2312"/>
              </w:rPr>
              <w:t>加强网络维护，网络运行正常(因网络运行不正常且维护不及时影响工作，造成损失，每次扣1分)。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1234" w:type="dxa"/>
            <w:vMerge w:val="continue"/>
            <w:vAlign w:val="center"/>
          </w:tcPr>
          <w:p>
            <w:pPr>
              <w:widowControl w:val="0"/>
              <w:spacing w:before="69" w:beforeLines="20" w:after="69" w:afterLines="20"/>
              <w:jc w:val="both"/>
              <w:rPr>
                <w:rFonts w:cs="宋体" w:asciiTheme="minorEastAsia" w:hAnsiTheme="minorEastAsia" w:eastAsiaTheme="minorEastAsia"/>
              </w:rPr>
            </w:pPr>
          </w:p>
        </w:tc>
        <w:tc>
          <w:tcPr>
            <w:tcW w:w="1770" w:type="dxa"/>
            <w:vMerge w:val="restart"/>
            <w:vAlign w:val="center"/>
          </w:tcPr>
          <w:p>
            <w:pPr>
              <w:widowControl w:val="0"/>
              <w:jc w:val="center"/>
              <w:rPr>
                <w:rFonts w:cs="宋体" w:asciiTheme="minorEastAsia" w:hAnsiTheme="minorEastAsia" w:eastAsiaTheme="minorEastAsia"/>
              </w:rPr>
            </w:pPr>
            <w:r>
              <w:rPr>
                <w:rFonts w:hint="eastAsia" w:cs="宋体" w:asciiTheme="minorEastAsia" w:hAnsiTheme="minorEastAsia" w:eastAsiaTheme="minorEastAsia"/>
              </w:rPr>
              <w:t>精神文明建设</w:t>
            </w:r>
          </w:p>
          <w:p>
            <w:pPr>
              <w:widowControl w:val="0"/>
              <w:jc w:val="center"/>
              <w:rPr>
                <w:rFonts w:cs="宋体" w:asciiTheme="minorEastAsia" w:hAnsiTheme="minorEastAsia" w:eastAsiaTheme="minorEastAsia"/>
              </w:rPr>
            </w:pPr>
            <w:r>
              <w:rPr>
                <w:rFonts w:hint="eastAsia" w:cs="宋体" w:asciiTheme="minorEastAsia" w:hAnsiTheme="minorEastAsia" w:eastAsiaTheme="minorEastAsia"/>
              </w:rPr>
              <w:t>（20分）</w:t>
            </w:r>
          </w:p>
        </w:tc>
        <w:tc>
          <w:tcPr>
            <w:tcW w:w="9062" w:type="dxa"/>
            <w:vAlign w:val="center"/>
          </w:tcPr>
          <w:p>
            <w:pPr>
              <w:widowControl w:val="0"/>
              <w:spacing w:before="52" w:beforeLines="15" w:after="52" w:afterLines="15" w:line="308" w:lineRule="exact"/>
              <w:jc w:val="both"/>
              <w:rPr>
                <w:rFonts w:ascii="仿宋_GB2312" w:eastAsia="仿宋_GB2312"/>
              </w:rPr>
            </w:pPr>
            <w:r>
              <w:rPr>
                <w:rFonts w:hint="eastAsia" w:ascii="仿宋_GB2312" w:eastAsia="仿宋_GB2312"/>
              </w:rPr>
              <w:t>抓好校园文明建设，有计划、有目标、有措施，建设成效显著，目标没实现减1分。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3" w:hRule="atLeast"/>
          <w:jc w:val="center"/>
        </w:trPr>
        <w:tc>
          <w:tcPr>
            <w:tcW w:w="1234" w:type="dxa"/>
            <w:vMerge w:val="continue"/>
            <w:vAlign w:val="center"/>
          </w:tcPr>
          <w:p>
            <w:pPr>
              <w:widowControl w:val="0"/>
              <w:spacing w:before="69" w:beforeLines="20" w:after="69" w:afterLines="20"/>
              <w:jc w:val="both"/>
              <w:rPr>
                <w:rFonts w:cs="宋体" w:asciiTheme="minorEastAsia" w:hAnsiTheme="minorEastAsia" w:eastAsiaTheme="minorEastAsia"/>
              </w:rPr>
            </w:pPr>
          </w:p>
        </w:tc>
        <w:tc>
          <w:tcPr>
            <w:tcW w:w="1770" w:type="dxa"/>
            <w:vMerge w:val="continue"/>
            <w:vAlign w:val="center"/>
          </w:tcPr>
          <w:p>
            <w:pPr>
              <w:widowControl w:val="0"/>
              <w:spacing w:before="69" w:beforeLines="20" w:after="69" w:afterLines="20"/>
              <w:jc w:val="center"/>
              <w:rPr>
                <w:rFonts w:cs="宋体" w:asciiTheme="minorEastAsia" w:hAnsiTheme="minorEastAsia" w:eastAsiaTheme="minorEastAsia"/>
              </w:rPr>
            </w:pPr>
          </w:p>
        </w:tc>
        <w:tc>
          <w:tcPr>
            <w:tcW w:w="9062" w:type="dxa"/>
            <w:vAlign w:val="center"/>
          </w:tcPr>
          <w:p>
            <w:pPr>
              <w:widowControl w:val="0"/>
              <w:spacing w:before="52" w:beforeLines="15" w:after="52" w:afterLines="15" w:line="308" w:lineRule="exact"/>
              <w:jc w:val="both"/>
              <w:rPr>
                <w:rFonts w:hint="eastAsia" w:ascii="仿宋_GB2312" w:eastAsia="仿宋_GB2312"/>
                <w:lang w:eastAsia="zh-CN"/>
              </w:rPr>
            </w:pPr>
            <w:r>
              <w:rPr>
                <w:rFonts w:hint="eastAsia" w:ascii="仿宋_GB2312" w:eastAsia="仿宋_GB2312"/>
              </w:rPr>
              <w:t>加强校园文化建设，制定并落实校园文化建设实施方案，措施得力、效果明显。无实施方案或措施未落实，无效果每项减2分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50" w:hRule="atLeast"/>
          <w:jc w:val="center"/>
        </w:trPr>
        <w:tc>
          <w:tcPr>
            <w:tcW w:w="1234" w:type="dxa"/>
            <w:vMerge w:val="continue"/>
            <w:vAlign w:val="center"/>
          </w:tcPr>
          <w:p>
            <w:pPr>
              <w:widowControl w:val="0"/>
              <w:spacing w:before="69" w:beforeLines="20" w:after="69" w:afterLines="20"/>
              <w:jc w:val="both"/>
              <w:rPr>
                <w:rFonts w:cs="宋体" w:asciiTheme="minorEastAsia" w:hAnsiTheme="minorEastAsia" w:eastAsiaTheme="minorEastAsia"/>
              </w:rPr>
            </w:pPr>
          </w:p>
        </w:tc>
        <w:tc>
          <w:tcPr>
            <w:tcW w:w="1770" w:type="dxa"/>
            <w:vMerge w:val="continue"/>
            <w:vAlign w:val="center"/>
          </w:tcPr>
          <w:p>
            <w:pPr>
              <w:widowControl w:val="0"/>
              <w:spacing w:before="69" w:beforeLines="20" w:after="69" w:afterLines="20"/>
              <w:jc w:val="center"/>
              <w:rPr>
                <w:rFonts w:cs="宋体" w:asciiTheme="minorEastAsia" w:hAnsiTheme="minorEastAsia" w:eastAsiaTheme="minorEastAsia"/>
              </w:rPr>
            </w:pPr>
          </w:p>
        </w:tc>
        <w:tc>
          <w:tcPr>
            <w:tcW w:w="9062" w:type="dxa"/>
            <w:vAlign w:val="center"/>
          </w:tcPr>
          <w:p>
            <w:pPr>
              <w:widowControl w:val="0"/>
              <w:spacing w:before="52" w:beforeLines="15" w:after="52" w:afterLines="15" w:line="308" w:lineRule="exact"/>
              <w:jc w:val="both"/>
              <w:rPr>
                <w:rFonts w:ascii="仿宋_GB2312" w:eastAsia="仿宋_GB2312"/>
              </w:rPr>
            </w:pPr>
            <w:r>
              <w:rPr>
                <w:rFonts w:hint="eastAsia" w:ascii="仿宋_GB2312" w:eastAsia="仿宋_GB2312"/>
              </w:rPr>
              <w:t>弘扬“三风一训”、传唱校歌，引导师生形成共同的价值取向，加强全院宣传栏、阅报栏等阵地管理，每学期至少检查2次(检查少1次扣1分)。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46" w:hRule="atLeast"/>
          <w:jc w:val="center"/>
        </w:trPr>
        <w:tc>
          <w:tcPr>
            <w:tcW w:w="1234" w:type="dxa"/>
            <w:vMerge w:val="continue"/>
            <w:vAlign w:val="center"/>
          </w:tcPr>
          <w:p>
            <w:pPr>
              <w:widowControl w:val="0"/>
              <w:spacing w:before="69" w:beforeLines="20" w:after="69" w:afterLines="20"/>
              <w:jc w:val="both"/>
              <w:rPr>
                <w:rFonts w:cs="宋体" w:asciiTheme="minorEastAsia" w:hAnsiTheme="minorEastAsia" w:eastAsiaTheme="minorEastAsia"/>
              </w:rPr>
            </w:pPr>
          </w:p>
        </w:tc>
        <w:tc>
          <w:tcPr>
            <w:tcW w:w="1770" w:type="dxa"/>
            <w:vMerge w:val="restart"/>
            <w:vAlign w:val="center"/>
          </w:tcPr>
          <w:p>
            <w:pPr>
              <w:widowControl w:val="0"/>
              <w:jc w:val="center"/>
              <w:rPr>
                <w:rFonts w:cs="宋体" w:asciiTheme="minorEastAsia" w:hAnsiTheme="minorEastAsia" w:eastAsiaTheme="minorEastAsia"/>
              </w:rPr>
            </w:pPr>
            <w:r>
              <w:rPr>
                <w:rFonts w:hint="eastAsia" w:cs="宋体" w:asciiTheme="minorEastAsia" w:hAnsiTheme="minorEastAsia" w:eastAsiaTheme="minorEastAsia"/>
              </w:rPr>
              <w:t>思想政治工作</w:t>
            </w:r>
          </w:p>
          <w:p>
            <w:pPr>
              <w:widowControl w:val="0"/>
              <w:jc w:val="center"/>
              <w:rPr>
                <w:rFonts w:cs="宋体" w:asciiTheme="minorEastAsia" w:hAnsiTheme="minorEastAsia" w:eastAsiaTheme="minorEastAsia"/>
              </w:rPr>
            </w:pPr>
            <w:r>
              <w:rPr>
                <w:rFonts w:hint="eastAsia" w:cs="宋体" w:asciiTheme="minorEastAsia" w:hAnsiTheme="minorEastAsia" w:eastAsiaTheme="minorEastAsia"/>
              </w:rPr>
              <w:t>（20分）</w:t>
            </w:r>
          </w:p>
        </w:tc>
        <w:tc>
          <w:tcPr>
            <w:tcW w:w="9062" w:type="dxa"/>
            <w:vAlign w:val="center"/>
          </w:tcPr>
          <w:p>
            <w:pPr>
              <w:widowControl w:val="0"/>
              <w:spacing w:before="52" w:beforeLines="15" w:after="52" w:afterLines="15" w:line="308" w:lineRule="exact"/>
              <w:jc w:val="both"/>
              <w:rPr>
                <w:rFonts w:hint="eastAsia" w:ascii="仿宋_GB2312" w:eastAsia="仿宋_GB2312"/>
                <w:lang w:val="en-US" w:eastAsia="zh-CN"/>
              </w:rPr>
            </w:pPr>
            <w:r>
              <w:rPr>
                <w:rFonts w:hint="eastAsia" w:ascii="仿宋_GB2312" w:eastAsia="仿宋_GB2312"/>
                <w:color w:val="auto"/>
              </w:rPr>
              <w:t>认真落实学院教职工思想政治工作要求，积极开展思想政治教育工作，每少1项（次）减1分。组织开展理论学习、形势教育和普法教育等活动每学期不少于2次，思想政治工作无方案、无记录、无显著成效</w:t>
            </w:r>
            <w:r>
              <w:rPr>
                <w:rFonts w:hint="eastAsia" w:ascii="仿宋_GB2312" w:eastAsia="仿宋_GB2312"/>
                <w:color w:val="auto"/>
                <w:lang w:eastAsia="zh-CN"/>
              </w:rPr>
              <w:t>减</w:t>
            </w:r>
            <w:r>
              <w:rPr>
                <w:rFonts w:hint="eastAsia" w:ascii="仿宋_GB2312" w:eastAsia="仿宋_GB2312"/>
                <w:color w:val="auto"/>
                <w:lang w:val="en-US" w:eastAsia="zh-CN"/>
              </w:rPr>
              <w:t>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1234" w:type="dxa"/>
            <w:vMerge w:val="continue"/>
            <w:vAlign w:val="center"/>
          </w:tcPr>
          <w:p>
            <w:pPr>
              <w:widowControl w:val="0"/>
              <w:spacing w:before="69" w:beforeLines="20" w:after="69" w:afterLines="20"/>
              <w:jc w:val="both"/>
              <w:rPr>
                <w:rFonts w:cs="宋体" w:asciiTheme="minorEastAsia" w:hAnsiTheme="minorEastAsia" w:eastAsiaTheme="minorEastAsia"/>
              </w:rPr>
            </w:pPr>
          </w:p>
        </w:tc>
        <w:tc>
          <w:tcPr>
            <w:tcW w:w="1770" w:type="dxa"/>
            <w:vMerge w:val="continue"/>
            <w:vAlign w:val="center"/>
          </w:tcPr>
          <w:p>
            <w:pPr>
              <w:widowControl w:val="0"/>
              <w:spacing w:before="69" w:beforeLines="20" w:after="69" w:afterLines="20"/>
              <w:jc w:val="center"/>
              <w:rPr>
                <w:rFonts w:cs="宋体" w:asciiTheme="minorEastAsia" w:hAnsiTheme="minorEastAsia" w:eastAsiaTheme="minorEastAsia"/>
              </w:rPr>
            </w:pPr>
          </w:p>
        </w:tc>
        <w:tc>
          <w:tcPr>
            <w:tcW w:w="9062" w:type="dxa"/>
            <w:vAlign w:val="center"/>
          </w:tcPr>
          <w:p>
            <w:pPr>
              <w:widowControl w:val="0"/>
              <w:spacing w:before="52" w:beforeLines="15" w:after="52" w:afterLines="15" w:line="308" w:lineRule="exact"/>
              <w:jc w:val="both"/>
              <w:rPr>
                <w:rFonts w:ascii="仿宋_GB2312" w:eastAsia="仿宋_GB2312"/>
              </w:rPr>
            </w:pPr>
            <w:r>
              <w:rPr>
                <w:rFonts w:hint="eastAsia" w:ascii="仿宋_GB2312" w:eastAsia="仿宋_GB2312"/>
              </w:rPr>
              <w:t>落实意识形态工作责任制情况。</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56" w:hRule="atLeast"/>
          <w:jc w:val="center"/>
        </w:trPr>
        <w:tc>
          <w:tcPr>
            <w:tcW w:w="1234" w:type="dxa"/>
            <w:vMerge w:val="continue"/>
            <w:vAlign w:val="center"/>
          </w:tcPr>
          <w:p>
            <w:pPr>
              <w:widowControl w:val="0"/>
              <w:spacing w:before="69" w:beforeLines="20" w:after="69" w:afterLines="20"/>
              <w:jc w:val="both"/>
              <w:rPr>
                <w:rFonts w:cs="宋体" w:asciiTheme="minorEastAsia" w:hAnsiTheme="minorEastAsia" w:eastAsiaTheme="minorEastAsia"/>
              </w:rPr>
            </w:pPr>
          </w:p>
        </w:tc>
        <w:tc>
          <w:tcPr>
            <w:tcW w:w="1770" w:type="dxa"/>
            <w:vMerge w:val="restart"/>
            <w:vAlign w:val="center"/>
          </w:tcPr>
          <w:p>
            <w:pPr>
              <w:widowControl w:val="0"/>
              <w:jc w:val="center"/>
              <w:rPr>
                <w:rFonts w:cs="宋体" w:asciiTheme="minorEastAsia" w:hAnsiTheme="minorEastAsia" w:eastAsiaTheme="minorEastAsia"/>
              </w:rPr>
            </w:pPr>
            <w:r>
              <w:rPr>
                <w:rFonts w:hint="eastAsia" w:cs="宋体" w:asciiTheme="minorEastAsia" w:hAnsiTheme="minorEastAsia" w:eastAsiaTheme="minorEastAsia"/>
              </w:rPr>
              <w:t>宣传信息管理（20分）</w:t>
            </w:r>
          </w:p>
        </w:tc>
        <w:tc>
          <w:tcPr>
            <w:tcW w:w="9062" w:type="dxa"/>
            <w:vAlign w:val="center"/>
          </w:tcPr>
          <w:p>
            <w:pPr>
              <w:widowControl w:val="0"/>
              <w:spacing w:before="52" w:beforeLines="15" w:after="52" w:afterLines="15" w:line="308" w:lineRule="exact"/>
              <w:jc w:val="both"/>
              <w:rPr>
                <w:rFonts w:hint="eastAsia" w:ascii="仿宋_GB2312" w:eastAsia="仿宋_GB2312"/>
                <w:lang w:eastAsia="zh-CN"/>
              </w:rPr>
            </w:pPr>
            <w:r>
              <w:rPr>
                <w:rFonts w:hint="eastAsia" w:ascii="仿宋_GB2312" w:eastAsia="仿宋_GB2312"/>
              </w:rPr>
              <w:t>做好与教育行政管理部门的信息沟通工作，出现差错或遗漏而引起不良结果的情况，出现一次扣2分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8" w:hRule="atLeast"/>
          <w:jc w:val="center"/>
        </w:trPr>
        <w:tc>
          <w:tcPr>
            <w:tcW w:w="1234" w:type="dxa"/>
            <w:vMerge w:val="continue"/>
            <w:vAlign w:val="center"/>
          </w:tcPr>
          <w:p>
            <w:pPr>
              <w:widowControl w:val="0"/>
              <w:spacing w:before="69" w:beforeLines="20" w:after="69" w:afterLines="20"/>
              <w:jc w:val="both"/>
              <w:rPr>
                <w:rFonts w:ascii="仿宋_GB2312" w:eastAsia="仿宋_GB2312"/>
              </w:rPr>
            </w:pPr>
          </w:p>
        </w:tc>
        <w:tc>
          <w:tcPr>
            <w:tcW w:w="1770" w:type="dxa"/>
            <w:vMerge w:val="continue"/>
            <w:vAlign w:val="center"/>
          </w:tcPr>
          <w:p>
            <w:pPr>
              <w:widowControl w:val="0"/>
              <w:spacing w:before="69" w:beforeLines="20" w:after="69" w:afterLines="20"/>
              <w:jc w:val="center"/>
              <w:rPr>
                <w:rFonts w:ascii="仿宋_GB2312" w:eastAsia="仿宋_GB2312" w:hAnsiTheme="minorEastAsia"/>
              </w:rPr>
            </w:pPr>
          </w:p>
        </w:tc>
        <w:tc>
          <w:tcPr>
            <w:tcW w:w="9062" w:type="dxa"/>
            <w:vAlign w:val="center"/>
          </w:tcPr>
          <w:p>
            <w:pPr>
              <w:widowControl w:val="0"/>
              <w:spacing w:before="52" w:beforeLines="15" w:after="52" w:afterLines="15" w:line="308" w:lineRule="exact"/>
              <w:jc w:val="both"/>
              <w:rPr>
                <w:rFonts w:ascii="仿宋_GB2312" w:eastAsia="仿宋_GB2312"/>
              </w:rPr>
            </w:pPr>
            <w:r>
              <w:rPr>
                <w:rFonts w:hint="eastAsia" w:ascii="仿宋_GB2312" w:eastAsia="仿宋_GB2312"/>
              </w:rPr>
              <w:t>对各部门宣传工作有考核评价。无考核结果减2分。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99" w:hRule="atLeast"/>
          <w:jc w:val="center"/>
        </w:trPr>
        <w:tc>
          <w:tcPr>
            <w:tcW w:w="1234" w:type="dxa"/>
            <w:vMerge w:val="restart"/>
            <w:vAlign w:val="center"/>
          </w:tcPr>
          <w:p>
            <w:pPr>
              <w:widowControl w:val="0"/>
              <w:spacing w:before="69" w:beforeLines="20" w:after="69" w:afterLines="20"/>
              <w:jc w:val="center"/>
              <w:rPr>
                <w:rFonts w:asciiTheme="minorEastAsia" w:hAnsiTheme="minorEastAsia" w:eastAsiaTheme="minorEastAsia"/>
              </w:rPr>
            </w:pPr>
            <w:r>
              <w:rPr>
                <w:rFonts w:hint="eastAsia" w:asciiTheme="minorEastAsia" w:hAnsiTheme="minorEastAsia" w:eastAsiaTheme="minorEastAsia"/>
              </w:rPr>
              <w:t>工会</w:t>
            </w:r>
          </w:p>
          <w:p>
            <w:pPr>
              <w:widowControl w:val="0"/>
              <w:spacing w:before="69" w:beforeLines="20" w:after="69" w:afterLines="20"/>
              <w:jc w:val="center"/>
              <w:rPr>
                <w:color w:val="000000" w:themeColor="text1"/>
                <w14:textFill>
                  <w14:solidFill>
                    <w14:schemeClr w14:val="tx1"/>
                  </w14:solidFill>
                </w14:textFill>
              </w:rPr>
            </w:pPr>
            <w:r>
              <w:rPr>
                <w:rFonts w:hint="eastAsia" w:asciiTheme="minorEastAsia" w:hAnsiTheme="minorEastAsia" w:eastAsiaTheme="minorEastAsia"/>
              </w:rPr>
              <w:t>履职指标</w:t>
            </w:r>
          </w:p>
          <w:p>
            <w:pPr>
              <w:widowControl w:val="0"/>
              <w:spacing w:before="69" w:beforeLines="20" w:after="69" w:afterLines="20"/>
              <w:jc w:val="center"/>
              <w:rPr>
                <w:color w:val="000000" w:themeColor="text1"/>
                <w14:textFill>
                  <w14:solidFill>
                    <w14:schemeClr w14:val="tx1"/>
                  </w14:solidFill>
                </w14:textFill>
              </w:rPr>
            </w:pPr>
          </w:p>
        </w:tc>
        <w:tc>
          <w:tcPr>
            <w:tcW w:w="1770" w:type="dxa"/>
            <w:vAlign w:val="center"/>
          </w:tcPr>
          <w:p>
            <w:pPr>
              <w:widowControl w:val="0"/>
              <w:jc w:val="center"/>
              <w:rPr>
                <w:rFonts w:asciiTheme="minorEastAsia" w:hAnsiTheme="minorEastAsia" w:eastAsiaTheme="minorEastAsia"/>
                <w:color w:val="000000" w:themeColor="text1"/>
                <w:kern w:val="2"/>
                <w14:textFill>
                  <w14:solidFill>
                    <w14:schemeClr w14:val="tx1"/>
                  </w14:solidFill>
                </w14:textFill>
              </w:rPr>
            </w:pPr>
            <w:r>
              <w:rPr>
                <w:rFonts w:hint="eastAsia" w:asciiTheme="minorEastAsia" w:hAnsiTheme="minorEastAsia" w:eastAsiaTheme="minorEastAsia"/>
                <w:color w:val="000000" w:themeColor="text1"/>
                <w:kern w:val="2"/>
                <w14:textFill>
                  <w14:solidFill>
                    <w14:schemeClr w14:val="tx1"/>
                  </w14:solidFill>
                </w14:textFill>
              </w:rPr>
              <w:t>工会组织建设</w:t>
            </w:r>
          </w:p>
          <w:p>
            <w:pPr>
              <w:widowControl w:val="0"/>
              <w:jc w:val="center"/>
              <w:rPr>
                <w:rFonts w:asciiTheme="minorEastAsia" w:hAnsiTheme="minorEastAsia" w:eastAsiaTheme="minorEastAsia"/>
                <w:color w:val="000000" w:themeColor="text1"/>
                <w:kern w:val="2"/>
                <w14:textFill>
                  <w14:solidFill>
                    <w14:schemeClr w14:val="tx1"/>
                  </w14:solidFill>
                </w14:textFill>
              </w:rPr>
            </w:pPr>
            <w:r>
              <w:rPr>
                <w:rFonts w:hint="eastAsia" w:asciiTheme="minorEastAsia" w:hAnsiTheme="minorEastAsia" w:eastAsiaTheme="minorEastAsia"/>
                <w:color w:val="000000" w:themeColor="text1"/>
                <w:kern w:val="2"/>
                <w14:textFill>
                  <w14:solidFill>
                    <w14:schemeClr w14:val="tx1"/>
                  </w14:solidFill>
                </w14:textFill>
              </w:rPr>
              <w:t>（2</w:t>
            </w:r>
            <w:r>
              <w:rPr>
                <w:rFonts w:asciiTheme="minorEastAsia" w:hAnsiTheme="minorEastAsia" w:eastAsiaTheme="minorEastAsia"/>
                <w:color w:val="000000" w:themeColor="text1"/>
                <w:kern w:val="2"/>
                <w14:textFill>
                  <w14:solidFill>
                    <w14:schemeClr w14:val="tx1"/>
                  </w14:solidFill>
                </w14:textFill>
              </w:rPr>
              <w:t>0</w:t>
            </w:r>
            <w:r>
              <w:rPr>
                <w:rFonts w:hint="eastAsia" w:asciiTheme="minorEastAsia" w:hAnsiTheme="minorEastAsia" w:eastAsiaTheme="minorEastAsia"/>
                <w:color w:val="000000" w:themeColor="text1"/>
                <w:kern w:val="2"/>
                <w14:textFill>
                  <w14:solidFill>
                    <w14:schemeClr w14:val="tx1"/>
                  </w14:solidFill>
                </w14:textFill>
              </w:rPr>
              <w:t>分）</w:t>
            </w:r>
          </w:p>
        </w:tc>
        <w:tc>
          <w:tcPr>
            <w:tcW w:w="9062" w:type="dxa"/>
            <w:vAlign w:val="center"/>
          </w:tcPr>
          <w:p>
            <w:pPr>
              <w:widowControl w:val="0"/>
              <w:spacing w:before="69" w:beforeLines="20" w:after="69" w:afterLines="20" w:line="276" w:lineRule="auto"/>
              <w:jc w:val="both"/>
              <w:rPr>
                <w:rFonts w:hint="eastAsia" w:eastAsia="仿宋_GB2312"/>
                <w:color w:val="000000" w:themeColor="text1"/>
                <w:lang w:eastAsia="zh-CN"/>
                <w14:textFill>
                  <w14:solidFill>
                    <w14:schemeClr w14:val="tx1"/>
                  </w14:solidFill>
                </w14:textFill>
              </w:rPr>
            </w:pPr>
            <w:r>
              <w:rPr>
                <w:rFonts w:hint="eastAsia" w:eastAsia="仿宋_GB2312"/>
                <w:color w:val="000000" w:themeColor="text1"/>
                <w14:textFill>
                  <w14:solidFill>
                    <w14:schemeClr w14:val="tx1"/>
                  </w14:solidFill>
                </w14:textFill>
              </w:rPr>
              <w:t>学院工会委员会、经审委、女工委和基层工会组织健全，并根据实际工作需要适时调整；.每年至少召开1次工会委员会和分工会主席会议，研究讨论工会工作计划，倾听教职工的意见、建议和呼声，帮助系部和教职工解决实际困难；加强教工活动阵地建设，维护、管理、使用好工会活动室，支持各分工会建设自己的活动场地(2分)</w:t>
            </w:r>
            <w:r>
              <w:rPr>
                <w:rFonts w:hint="eastAsia" w:eastAsia="仿宋_GB2312"/>
                <w:color w:val="000000" w:themeColor="text1"/>
                <w:lang w:eastAsia="zh-CN"/>
                <w14:textFill>
                  <w14:solidFill>
                    <w14:schemeClr w14:val="tx1"/>
                  </w14:solidFill>
                </w14:textFill>
              </w:rPr>
              <w:t>。</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left"/>
              <w:rPr>
                <w:color w:val="000000" w:themeColor="text1"/>
                <w14:textFill>
                  <w14:solidFill>
                    <w14:schemeClr w14:val="tx1"/>
                  </w14:solidFill>
                </w14:textFill>
              </w:rPr>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56" w:hRule="atLeast"/>
          <w:jc w:val="center"/>
        </w:trPr>
        <w:tc>
          <w:tcPr>
            <w:tcW w:w="1234" w:type="dxa"/>
            <w:vMerge w:val="continue"/>
          </w:tcPr>
          <w:p>
            <w:pPr>
              <w:widowControl w:val="0"/>
              <w:spacing w:before="69" w:beforeLines="20" w:after="69" w:afterLines="20"/>
              <w:jc w:val="center"/>
              <w:rPr>
                <w:color w:val="000000" w:themeColor="text1"/>
                <w14:textFill>
                  <w14:solidFill>
                    <w14:schemeClr w14:val="tx1"/>
                  </w14:solidFill>
                </w14:textFill>
              </w:rPr>
            </w:pPr>
          </w:p>
        </w:tc>
        <w:tc>
          <w:tcPr>
            <w:tcW w:w="1770" w:type="dxa"/>
            <w:vAlign w:val="center"/>
          </w:tcPr>
          <w:p>
            <w:pPr>
              <w:widowControl w:val="0"/>
              <w:jc w:val="center"/>
              <w:rPr>
                <w:rFonts w:asciiTheme="minorEastAsia" w:hAnsiTheme="minorEastAsia" w:eastAsiaTheme="minorEastAsia"/>
                <w:color w:val="000000" w:themeColor="text1"/>
                <w:kern w:val="2"/>
                <w14:textFill>
                  <w14:solidFill>
                    <w14:schemeClr w14:val="tx1"/>
                  </w14:solidFill>
                </w14:textFill>
              </w:rPr>
            </w:pPr>
            <w:r>
              <w:rPr>
                <w:rFonts w:hint="eastAsia" w:asciiTheme="minorEastAsia" w:hAnsiTheme="minorEastAsia" w:eastAsiaTheme="minorEastAsia"/>
                <w:color w:val="000000" w:themeColor="text1"/>
                <w:kern w:val="2"/>
                <w14:textFill>
                  <w14:solidFill>
                    <w14:schemeClr w14:val="tx1"/>
                  </w14:solidFill>
                </w14:textFill>
              </w:rPr>
              <w:t>师德师风建设</w:t>
            </w:r>
          </w:p>
          <w:p>
            <w:pPr>
              <w:widowControl w:val="0"/>
              <w:jc w:val="center"/>
              <w:rPr>
                <w:rFonts w:asciiTheme="minorEastAsia" w:hAnsiTheme="minorEastAsia" w:eastAsiaTheme="minorEastAsia"/>
                <w:color w:val="000000" w:themeColor="text1"/>
                <w:kern w:val="2"/>
                <w14:textFill>
                  <w14:solidFill>
                    <w14:schemeClr w14:val="tx1"/>
                  </w14:solidFill>
                </w14:textFill>
              </w:rPr>
            </w:pPr>
            <w:r>
              <w:rPr>
                <w:rFonts w:hint="eastAsia" w:asciiTheme="minorEastAsia" w:hAnsiTheme="minorEastAsia" w:eastAsiaTheme="minorEastAsia"/>
                <w:color w:val="000000" w:themeColor="text1"/>
                <w:kern w:val="2"/>
                <w14:textFill>
                  <w14:solidFill>
                    <w14:schemeClr w14:val="tx1"/>
                  </w14:solidFill>
                </w14:textFill>
              </w:rPr>
              <w:t>（2</w:t>
            </w:r>
            <w:r>
              <w:rPr>
                <w:rFonts w:asciiTheme="minorEastAsia" w:hAnsiTheme="minorEastAsia" w:eastAsiaTheme="minorEastAsia"/>
                <w:color w:val="000000" w:themeColor="text1"/>
                <w:kern w:val="2"/>
                <w14:textFill>
                  <w14:solidFill>
                    <w14:schemeClr w14:val="tx1"/>
                  </w14:solidFill>
                </w14:textFill>
              </w:rPr>
              <w:t>0</w:t>
            </w:r>
            <w:r>
              <w:rPr>
                <w:rFonts w:hint="eastAsia" w:asciiTheme="minorEastAsia" w:hAnsiTheme="minorEastAsia" w:eastAsiaTheme="minorEastAsia"/>
                <w:color w:val="000000" w:themeColor="text1"/>
                <w:kern w:val="2"/>
                <w14:textFill>
                  <w14:solidFill>
                    <w14:schemeClr w14:val="tx1"/>
                  </w14:solidFill>
                </w14:textFill>
              </w:rPr>
              <w:t>分）</w:t>
            </w:r>
          </w:p>
        </w:tc>
        <w:tc>
          <w:tcPr>
            <w:tcW w:w="9062" w:type="dxa"/>
            <w:vAlign w:val="center"/>
          </w:tcPr>
          <w:p>
            <w:pPr>
              <w:widowControl w:val="0"/>
              <w:spacing w:before="69" w:beforeLines="20" w:after="69" w:afterLines="20" w:line="276" w:lineRule="auto"/>
              <w:jc w:val="both"/>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建立健全师德建设长效机制；制定师德考核办法和师德标兵评选办法，师德考核及师德标兵评选公正、公开、透明；每学年组织一次师德建设教育月活动，安排学习教育内容及形式，做好指导、监督和总结。</w:t>
            </w:r>
          </w:p>
        </w:tc>
        <w:tc>
          <w:tcPr>
            <w:tcW w:w="2105" w:type="dxa"/>
            <w:vMerge w:val="continue"/>
          </w:tcPr>
          <w:p>
            <w:pPr>
              <w:widowControl w:val="0"/>
              <w:spacing w:before="69" w:beforeLines="20" w:after="69" w:afterLines="2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22" w:hRule="atLeast"/>
          <w:jc w:val="center"/>
        </w:trPr>
        <w:tc>
          <w:tcPr>
            <w:tcW w:w="1234" w:type="dxa"/>
            <w:vMerge w:val="continue"/>
          </w:tcPr>
          <w:p>
            <w:pPr>
              <w:widowControl w:val="0"/>
              <w:spacing w:before="69" w:beforeLines="20" w:after="69" w:afterLines="20"/>
              <w:jc w:val="center"/>
              <w:rPr>
                <w:color w:val="000000" w:themeColor="text1"/>
                <w14:textFill>
                  <w14:solidFill>
                    <w14:schemeClr w14:val="tx1"/>
                  </w14:solidFill>
                </w14:textFill>
              </w:rPr>
            </w:pPr>
          </w:p>
        </w:tc>
        <w:tc>
          <w:tcPr>
            <w:tcW w:w="1770" w:type="dxa"/>
            <w:vAlign w:val="center"/>
          </w:tcPr>
          <w:p>
            <w:pPr>
              <w:widowControl w:val="0"/>
              <w:spacing w:before="69" w:beforeLines="20" w:after="69" w:afterLines="2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院务公开</w:t>
            </w:r>
          </w:p>
          <w:p>
            <w:pPr>
              <w:widowControl w:val="0"/>
              <w:spacing w:before="69" w:beforeLines="20" w:after="69" w:afterLines="2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0</w:t>
            </w:r>
            <w:r>
              <w:rPr>
                <w:rFonts w:hint="eastAsia" w:asciiTheme="minorEastAsia" w:hAnsiTheme="minorEastAsia" w:eastAsiaTheme="minorEastAsia"/>
                <w:color w:val="000000" w:themeColor="text1"/>
                <w14:textFill>
                  <w14:solidFill>
                    <w14:schemeClr w14:val="tx1"/>
                  </w14:solidFill>
                </w14:textFill>
              </w:rPr>
              <w:t>分）</w:t>
            </w:r>
          </w:p>
        </w:tc>
        <w:tc>
          <w:tcPr>
            <w:tcW w:w="9062" w:type="dxa"/>
            <w:vAlign w:val="center"/>
          </w:tcPr>
          <w:p>
            <w:pPr>
              <w:widowControl w:val="0"/>
              <w:spacing w:before="69" w:beforeLines="20" w:after="69" w:afterLines="20" w:line="276" w:lineRule="auto"/>
              <w:jc w:val="both"/>
              <w:rPr>
                <w:rFonts w:hint="eastAsia" w:eastAsia="仿宋_GB2312"/>
                <w:color w:val="000000" w:themeColor="text1"/>
                <w:lang w:eastAsia="zh-CN"/>
                <w14:textFill>
                  <w14:solidFill>
                    <w14:schemeClr w14:val="tx1"/>
                  </w14:solidFill>
                </w14:textFill>
              </w:rPr>
            </w:pPr>
            <w:r>
              <w:rPr>
                <w:rFonts w:hint="eastAsia" w:eastAsia="仿宋_GB2312"/>
                <w:color w:val="000000" w:themeColor="text1"/>
                <w14:textFill>
                  <w14:solidFill>
                    <w14:schemeClr w14:val="tx1"/>
                  </w14:solidFill>
                </w14:textFill>
              </w:rPr>
              <w:t>制定《院务公开民主管理实施方案》，设立院务公开栏或学院内网公开专栏，加强民主监督管理</w:t>
            </w:r>
            <w:r>
              <w:rPr>
                <w:rFonts w:hint="eastAsia" w:eastAsia="仿宋_GB2312"/>
                <w:color w:val="000000" w:themeColor="text1"/>
                <w:lang w:eastAsia="zh-CN"/>
                <w14:textFill>
                  <w14:solidFill>
                    <w14:schemeClr w14:val="tx1"/>
                  </w14:solidFill>
                </w14:textFill>
              </w:rPr>
              <w:t>。</w:t>
            </w:r>
          </w:p>
        </w:tc>
        <w:tc>
          <w:tcPr>
            <w:tcW w:w="2105" w:type="dxa"/>
            <w:vMerge w:val="continue"/>
          </w:tcPr>
          <w:p>
            <w:pPr>
              <w:widowControl w:val="0"/>
              <w:spacing w:before="69" w:beforeLines="20" w:after="69" w:afterLines="2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9" w:hRule="atLeast"/>
          <w:jc w:val="center"/>
        </w:trPr>
        <w:tc>
          <w:tcPr>
            <w:tcW w:w="1234" w:type="dxa"/>
            <w:vMerge w:val="continue"/>
          </w:tcPr>
          <w:p>
            <w:pPr>
              <w:widowControl w:val="0"/>
              <w:spacing w:before="69" w:beforeLines="20" w:after="69" w:afterLines="20"/>
              <w:jc w:val="center"/>
              <w:rPr>
                <w:color w:val="000000" w:themeColor="text1"/>
                <w14:textFill>
                  <w14:solidFill>
                    <w14:schemeClr w14:val="tx1"/>
                  </w14:solidFill>
                </w14:textFill>
              </w:rPr>
            </w:pPr>
          </w:p>
        </w:tc>
        <w:tc>
          <w:tcPr>
            <w:tcW w:w="1770" w:type="dxa"/>
            <w:vMerge w:val="restart"/>
            <w:vAlign w:val="center"/>
          </w:tcPr>
          <w:p>
            <w:pPr>
              <w:widowControl w:val="0"/>
              <w:spacing w:before="69" w:beforeLines="20" w:after="69" w:afterLines="2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维护权益</w:t>
            </w:r>
          </w:p>
          <w:p>
            <w:pPr>
              <w:widowControl w:val="0"/>
              <w:spacing w:before="69" w:beforeLines="20" w:after="69" w:afterLines="2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0</w:t>
            </w:r>
            <w:r>
              <w:rPr>
                <w:rFonts w:hint="eastAsia" w:asciiTheme="minorEastAsia" w:hAnsiTheme="minorEastAsia" w:eastAsiaTheme="minorEastAsia"/>
                <w:color w:val="000000" w:themeColor="text1"/>
                <w14:textFill>
                  <w14:solidFill>
                    <w14:schemeClr w14:val="tx1"/>
                  </w14:solidFill>
                </w14:textFill>
              </w:rPr>
              <w:t>分）</w:t>
            </w:r>
          </w:p>
        </w:tc>
        <w:tc>
          <w:tcPr>
            <w:tcW w:w="9062" w:type="dxa"/>
            <w:vAlign w:val="center"/>
          </w:tcPr>
          <w:p>
            <w:pPr>
              <w:widowControl w:val="0"/>
              <w:spacing w:before="69" w:beforeLines="20" w:after="69" w:afterLines="20" w:line="276" w:lineRule="auto"/>
              <w:jc w:val="both"/>
              <w:rPr>
                <w:rFonts w:hint="eastAsia" w:eastAsia="仿宋_GB2312"/>
                <w:color w:val="000000" w:themeColor="text1"/>
                <w:lang w:eastAsia="zh-CN"/>
                <w14:textFill>
                  <w14:solidFill>
                    <w14:schemeClr w14:val="tx1"/>
                  </w14:solidFill>
                </w14:textFill>
              </w:rPr>
            </w:pPr>
            <w:r>
              <w:rPr>
                <w:rFonts w:hint="eastAsia" w:eastAsia="仿宋_GB2312"/>
                <w:color w:val="000000" w:themeColor="text1"/>
                <w14:textFill>
                  <w14:solidFill>
                    <w14:schemeClr w14:val="tx1"/>
                  </w14:solidFill>
                </w14:textFill>
              </w:rPr>
              <w:t>为教职工办理住院互助医疗保险、意外伤害保险、重大疾病保险</w:t>
            </w:r>
            <w:r>
              <w:rPr>
                <w:rFonts w:hint="eastAsia" w:eastAsia="仿宋_GB2312"/>
                <w:color w:val="000000" w:themeColor="text1"/>
                <w:lang w:eastAsia="zh-CN"/>
                <w14:textFill>
                  <w14:solidFill>
                    <w14:schemeClr w14:val="tx1"/>
                  </w14:solidFill>
                </w14:textFill>
              </w:rPr>
              <w:t>。</w:t>
            </w:r>
          </w:p>
        </w:tc>
        <w:tc>
          <w:tcPr>
            <w:tcW w:w="2105" w:type="dxa"/>
            <w:vMerge w:val="continue"/>
          </w:tcPr>
          <w:p>
            <w:pPr>
              <w:widowControl w:val="0"/>
              <w:spacing w:before="69" w:beforeLines="20" w:after="69" w:afterLines="2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50" w:hRule="atLeast"/>
          <w:jc w:val="center"/>
        </w:trPr>
        <w:tc>
          <w:tcPr>
            <w:tcW w:w="1234" w:type="dxa"/>
            <w:vMerge w:val="continue"/>
          </w:tcPr>
          <w:p>
            <w:pPr>
              <w:widowControl w:val="0"/>
              <w:spacing w:before="69" w:beforeLines="20" w:after="69" w:afterLines="20"/>
              <w:jc w:val="center"/>
              <w:rPr>
                <w:color w:val="000000" w:themeColor="text1"/>
                <w14:textFill>
                  <w14:solidFill>
                    <w14:schemeClr w14:val="tx1"/>
                  </w14:solidFill>
                </w14:textFill>
              </w:rPr>
            </w:pPr>
          </w:p>
        </w:tc>
        <w:tc>
          <w:tcPr>
            <w:tcW w:w="1770" w:type="dxa"/>
            <w:vMerge w:val="continue"/>
            <w:vAlign w:val="center"/>
          </w:tcPr>
          <w:p>
            <w:pPr>
              <w:widowControl w:val="0"/>
              <w:spacing w:before="69" w:beforeLines="20" w:after="69" w:afterLines="20"/>
              <w:jc w:val="center"/>
              <w:rPr>
                <w:rFonts w:asciiTheme="minorEastAsia" w:hAnsiTheme="minorEastAsia" w:eastAsiaTheme="minorEastAsia"/>
                <w:color w:val="000000" w:themeColor="text1"/>
                <w14:textFill>
                  <w14:solidFill>
                    <w14:schemeClr w14:val="tx1"/>
                  </w14:solidFill>
                </w14:textFill>
              </w:rPr>
            </w:pPr>
          </w:p>
        </w:tc>
        <w:tc>
          <w:tcPr>
            <w:tcW w:w="9062" w:type="dxa"/>
            <w:vAlign w:val="center"/>
          </w:tcPr>
          <w:p>
            <w:pPr>
              <w:widowControl w:val="0"/>
              <w:spacing w:before="69" w:beforeLines="20" w:after="69" w:afterLines="20" w:line="276" w:lineRule="auto"/>
              <w:jc w:val="both"/>
              <w:rPr>
                <w:rFonts w:hint="eastAsia" w:eastAsia="仿宋_GB2312"/>
                <w:color w:val="000000" w:themeColor="text1"/>
                <w:lang w:eastAsia="zh-CN"/>
                <w14:textFill>
                  <w14:solidFill>
                    <w14:schemeClr w14:val="tx1"/>
                  </w14:solidFill>
                </w14:textFill>
              </w:rPr>
            </w:pPr>
            <w:r>
              <w:rPr>
                <w:rFonts w:hint="eastAsia" w:eastAsia="仿宋_GB2312"/>
                <w:color w:val="000000" w:themeColor="text1"/>
                <w14:textFill>
                  <w14:solidFill>
                    <w14:schemeClr w14:val="tx1"/>
                  </w14:solidFill>
                </w14:textFill>
              </w:rPr>
              <w:t>每年组织教职工进行一次健康查体；为工会会员发放传统节日慰问品和生日蛋糕</w:t>
            </w:r>
            <w:r>
              <w:rPr>
                <w:rFonts w:hint="eastAsia" w:eastAsia="仿宋_GB2312"/>
                <w:color w:val="000000" w:themeColor="text1"/>
                <w:lang w:eastAsia="zh-CN"/>
                <w14:textFill>
                  <w14:solidFill>
                    <w14:schemeClr w14:val="tx1"/>
                  </w14:solidFill>
                </w14:textFill>
              </w:rPr>
              <w:t>。</w:t>
            </w:r>
          </w:p>
        </w:tc>
        <w:tc>
          <w:tcPr>
            <w:tcW w:w="2105" w:type="dxa"/>
            <w:vMerge w:val="continue"/>
          </w:tcPr>
          <w:p>
            <w:pPr>
              <w:widowControl w:val="0"/>
              <w:spacing w:before="69" w:beforeLines="20" w:after="69" w:afterLines="2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49" w:hRule="atLeast"/>
          <w:jc w:val="center"/>
        </w:trPr>
        <w:tc>
          <w:tcPr>
            <w:tcW w:w="1234" w:type="dxa"/>
            <w:vMerge w:val="continue"/>
          </w:tcPr>
          <w:p>
            <w:pPr>
              <w:widowControl w:val="0"/>
              <w:spacing w:before="69" w:beforeLines="20" w:after="69" w:afterLines="20"/>
              <w:jc w:val="center"/>
              <w:rPr>
                <w:color w:val="000000" w:themeColor="text1"/>
                <w14:textFill>
                  <w14:solidFill>
                    <w14:schemeClr w14:val="tx1"/>
                  </w14:solidFill>
                </w14:textFill>
              </w:rPr>
            </w:pPr>
          </w:p>
        </w:tc>
        <w:tc>
          <w:tcPr>
            <w:tcW w:w="1770" w:type="dxa"/>
            <w:vMerge w:val="continue"/>
            <w:vAlign w:val="center"/>
          </w:tcPr>
          <w:p>
            <w:pPr>
              <w:widowControl w:val="0"/>
              <w:spacing w:before="69" w:beforeLines="20" w:after="69" w:afterLines="20"/>
              <w:jc w:val="center"/>
              <w:rPr>
                <w:rFonts w:asciiTheme="minorEastAsia" w:hAnsiTheme="minorEastAsia" w:eastAsiaTheme="minorEastAsia"/>
                <w:color w:val="000000" w:themeColor="text1"/>
                <w14:textFill>
                  <w14:solidFill>
                    <w14:schemeClr w14:val="tx1"/>
                  </w14:solidFill>
                </w14:textFill>
              </w:rPr>
            </w:pPr>
          </w:p>
        </w:tc>
        <w:tc>
          <w:tcPr>
            <w:tcW w:w="9062" w:type="dxa"/>
            <w:vAlign w:val="center"/>
          </w:tcPr>
          <w:p>
            <w:pPr>
              <w:widowControl w:val="0"/>
              <w:spacing w:before="69" w:beforeLines="20" w:after="69" w:afterLines="20" w:line="276" w:lineRule="auto"/>
              <w:jc w:val="both"/>
              <w:rPr>
                <w:rFonts w:hint="eastAsia" w:eastAsia="仿宋_GB2312"/>
                <w:color w:val="000000" w:themeColor="text1"/>
                <w:lang w:eastAsia="zh-CN"/>
                <w14:textFill>
                  <w14:solidFill>
                    <w14:schemeClr w14:val="tx1"/>
                  </w14:solidFill>
                </w14:textFill>
              </w:rPr>
            </w:pPr>
            <w:r>
              <w:rPr>
                <w:rFonts w:hint="eastAsia" w:eastAsia="仿宋_GB2312"/>
                <w:color w:val="000000" w:themeColor="text1"/>
                <w14:textFill>
                  <w14:solidFill>
                    <w14:schemeClr w14:val="tx1"/>
                  </w14:solidFill>
                </w14:textFill>
              </w:rPr>
              <w:t>建立困难教职工档案，春节期间为困难教职工送温暖</w:t>
            </w:r>
            <w:r>
              <w:rPr>
                <w:rFonts w:hint="eastAsia" w:eastAsia="仿宋_GB2312"/>
                <w:color w:val="000000" w:themeColor="text1"/>
                <w:lang w:eastAsia="zh-CN"/>
                <w14:textFill>
                  <w14:solidFill>
                    <w14:schemeClr w14:val="tx1"/>
                  </w14:solidFill>
                </w14:textFill>
              </w:rPr>
              <w:t>。</w:t>
            </w:r>
          </w:p>
        </w:tc>
        <w:tc>
          <w:tcPr>
            <w:tcW w:w="2105" w:type="dxa"/>
            <w:vMerge w:val="continue"/>
          </w:tcPr>
          <w:p>
            <w:pPr>
              <w:widowControl w:val="0"/>
              <w:spacing w:before="69" w:beforeLines="20" w:after="69" w:afterLines="2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08" w:hRule="atLeast"/>
          <w:jc w:val="center"/>
        </w:trPr>
        <w:tc>
          <w:tcPr>
            <w:tcW w:w="1234" w:type="dxa"/>
            <w:vMerge w:val="continue"/>
          </w:tcPr>
          <w:p>
            <w:pPr>
              <w:widowControl w:val="0"/>
              <w:spacing w:before="69" w:beforeLines="20" w:after="69" w:afterLines="20"/>
              <w:jc w:val="center"/>
              <w:rPr>
                <w:color w:val="000000" w:themeColor="text1"/>
                <w14:textFill>
                  <w14:solidFill>
                    <w14:schemeClr w14:val="tx1"/>
                  </w14:solidFill>
                </w14:textFill>
              </w:rPr>
            </w:pPr>
          </w:p>
        </w:tc>
        <w:tc>
          <w:tcPr>
            <w:tcW w:w="1770" w:type="dxa"/>
            <w:vMerge w:val="continue"/>
            <w:vAlign w:val="center"/>
          </w:tcPr>
          <w:p>
            <w:pPr>
              <w:widowControl w:val="0"/>
              <w:spacing w:before="69" w:beforeLines="20" w:after="69" w:afterLines="20"/>
              <w:jc w:val="center"/>
              <w:rPr>
                <w:rFonts w:asciiTheme="minorEastAsia" w:hAnsiTheme="minorEastAsia" w:eastAsiaTheme="minorEastAsia"/>
                <w:color w:val="000000" w:themeColor="text1"/>
                <w14:textFill>
                  <w14:solidFill>
                    <w14:schemeClr w14:val="tx1"/>
                  </w14:solidFill>
                </w14:textFill>
              </w:rPr>
            </w:pPr>
          </w:p>
        </w:tc>
        <w:tc>
          <w:tcPr>
            <w:tcW w:w="9062" w:type="dxa"/>
            <w:vAlign w:val="center"/>
          </w:tcPr>
          <w:p>
            <w:pPr>
              <w:widowControl w:val="0"/>
              <w:spacing w:before="69" w:beforeLines="20" w:after="69" w:afterLines="20" w:line="276" w:lineRule="auto"/>
              <w:jc w:val="both"/>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做好工会会员生病住院探望、工会会员及直系亲属亡故安抚、工会会员初婚和生育慰问、工会会员离退休慰问工作；维护女职工合法权益，三八节组织女教工春游活动。</w:t>
            </w:r>
          </w:p>
        </w:tc>
        <w:tc>
          <w:tcPr>
            <w:tcW w:w="2105" w:type="dxa"/>
            <w:vMerge w:val="continue"/>
          </w:tcPr>
          <w:p>
            <w:pPr>
              <w:widowControl w:val="0"/>
              <w:spacing w:before="69" w:beforeLines="20" w:after="69" w:afterLines="2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86" w:hRule="atLeast"/>
          <w:jc w:val="center"/>
        </w:trPr>
        <w:tc>
          <w:tcPr>
            <w:tcW w:w="1234" w:type="dxa"/>
            <w:vMerge w:val="continue"/>
          </w:tcPr>
          <w:p>
            <w:pPr>
              <w:widowControl w:val="0"/>
              <w:spacing w:before="69" w:beforeLines="20" w:after="69" w:afterLines="20"/>
              <w:jc w:val="center"/>
              <w:rPr>
                <w:color w:val="000000" w:themeColor="text1"/>
                <w14:textFill>
                  <w14:solidFill>
                    <w14:schemeClr w14:val="tx1"/>
                  </w14:solidFill>
                </w14:textFill>
              </w:rPr>
            </w:pPr>
          </w:p>
        </w:tc>
        <w:tc>
          <w:tcPr>
            <w:tcW w:w="1770" w:type="dxa"/>
            <w:vAlign w:val="center"/>
          </w:tcPr>
          <w:p>
            <w:pPr>
              <w:widowControl w:val="0"/>
              <w:spacing w:before="69" w:beforeLines="20" w:after="69" w:afterLines="20"/>
              <w:jc w:val="center"/>
              <w:rPr>
                <w:rFonts w:asciiTheme="minorEastAsia" w:hAnsiTheme="minorEastAsia" w:eastAsiaTheme="minorEastAsia"/>
                <w:color w:val="000000" w:themeColor="text1"/>
                <w:kern w:val="2"/>
                <w14:textFill>
                  <w14:solidFill>
                    <w14:schemeClr w14:val="tx1"/>
                  </w14:solidFill>
                </w14:textFill>
              </w:rPr>
            </w:pPr>
            <w:r>
              <w:rPr>
                <w:rFonts w:hint="eastAsia" w:asciiTheme="minorEastAsia" w:hAnsiTheme="minorEastAsia" w:eastAsiaTheme="minorEastAsia"/>
                <w:color w:val="000000" w:themeColor="text1"/>
                <w:kern w:val="2"/>
                <w14:textFill>
                  <w14:solidFill>
                    <w14:schemeClr w14:val="tx1"/>
                  </w14:solidFill>
                </w14:textFill>
              </w:rPr>
              <w:t>丰富文化生活</w:t>
            </w:r>
          </w:p>
          <w:p>
            <w:pPr>
              <w:widowControl w:val="0"/>
              <w:spacing w:before="69" w:beforeLines="20" w:after="69" w:afterLines="2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kern w:val="2"/>
                <w14:textFill>
                  <w14:solidFill>
                    <w14:schemeClr w14:val="tx1"/>
                  </w14:solidFill>
                </w14:textFill>
              </w:rPr>
              <w:t>（2</w:t>
            </w:r>
            <w:r>
              <w:rPr>
                <w:rFonts w:asciiTheme="minorEastAsia" w:hAnsiTheme="minorEastAsia" w:eastAsiaTheme="minorEastAsia"/>
                <w:color w:val="000000" w:themeColor="text1"/>
                <w:kern w:val="2"/>
                <w14:textFill>
                  <w14:solidFill>
                    <w14:schemeClr w14:val="tx1"/>
                  </w14:solidFill>
                </w14:textFill>
              </w:rPr>
              <w:t>0</w:t>
            </w:r>
            <w:r>
              <w:rPr>
                <w:rFonts w:hint="eastAsia" w:asciiTheme="minorEastAsia" w:hAnsiTheme="minorEastAsia" w:eastAsiaTheme="minorEastAsia"/>
                <w:color w:val="000000" w:themeColor="text1"/>
                <w:kern w:val="2"/>
                <w14:textFill>
                  <w14:solidFill>
                    <w14:schemeClr w14:val="tx1"/>
                  </w14:solidFill>
                </w14:textFill>
              </w:rPr>
              <w:t>分）</w:t>
            </w:r>
          </w:p>
        </w:tc>
        <w:tc>
          <w:tcPr>
            <w:tcW w:w="9062" w:type="dxa"/>
            <w:vAlign w:val="center"/>
          </w:tcPr>
          <w:p>
            <w:pPr>
              <w:widowControl w:val="0"/>
              <w:spacing w:before="69" w:beforeLines="20" w:after="69" w:afterLines="20" w:line="276" w:lineRule="auto"/>
              <w:jc w:val="both"/>
              <w:rPr>
                <w:rFonts w:hint="eastAsia" w:eastAsia="仿宋_GB2312"/>
                <w:lang w:eastAsia="zh-CN"/>
              </w:rPr>
            </w:pPr>
            <w:r>
              <w:rPr>
                <w:rFonts w:hint="eastAsia" w:eastAsia="仿宋_GB2312"/>
                <w:color w:val="000000" w:themeColor="text1"/>
                <w14:textFill>
                  <w14:solidFill>
                    <w14:schemeClr w14:val="tx1"/>
                  </w14:solidFill>
                </w14:textFill>
              </w:rPr>
              <w:t>每学期组织1—2次院级文体活动；积极参加省教育工会、滕州市总工会等组织的文体活动，展现我院教职工风采。指导、支持各文体协会及各分工会自行组织开展活动</w:t>
            </w:r>
            <w:r>
              <w:rPr>
                <w:rFonts w:hint="eastAsia" w:eastAsia="仿宋_GB2312"/>
                <w:color w:val="000000" w:themeColor="text1"/>
                <w:lang w:eastAsia="zh-CN"/>
                <w14:textFill>
                  <w14:solidFill>
                    <w14:schemeClr w14:val="tx1"/>
                  </w14:solidFill>
                </w14:textFill>
              </w:rPr>
              <w:t>。</w:t>
            </w:r>
          </w:p>
        </w:tc>
        <w:tc>
          <w:tcPr>
            <w:tcW w:w="2105" w:type="dxa"/>
            <w:vMerge w:val="continue"/>
          </w:tcPr>
          <w:p>
            <w:pPr>
              <w:widowControl w:val="0"/>
              <w:spacing w:before="69" w:beforeLines="20" w:after="69" w:afterLines="2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11" w:hRule="atLeast"/>
          <w:jc w:val="center"/>
        </w:trPr>
        <w:tc>
          <w:tcPr>
            <w:tcW w:w="1234" w:type="dxa"/>
            <w:vMerge w:val="restart"/>
            <w:vAlign w:val="center"/>
          </w:tcPr>
          <w:p>
            <w:pPr>
              <w:widowControl w:val="0"/>
              <w:spacing w:before="69" w:beforeLines="20" w:after="69" w:afterLines="20"/>
              <w:jc w:val="center"/>
              <w:rPr>
                <w:rFonts w:hint="eastAsia" w:ascii="宋体" w:hAnsi="宋体" w:cs="宋体"/>
              </w:rPr>
            </w:pPr>
            <w:r>
              <w:rPr>
                <w:rFonts w:hint="eastAsia" w:ascii="宋体" w:hAnsi="宋体" w:cs="宋体"/>
              </w:rPr>
              <w:t>学生</w:t>
            </w:r>
          </w:p>
          <w:p>
            <w:pPr>
              <w:widowControl w:val="0"/>
              <w:spacing w:before="69" w:beforeLines="20" w:after="69" w:afterLines="20"/>
              <w:jc w:val="center"/>
              <w:rPr>
                <w:rFonts w:hint="eastAsia" w:ascii="宋体" w:hAnsi="宋体" w:cs="宋体"/>
              </w:rPr>
            </w:pPr>
            <w:r>
              <w:rPr>
                <w:rFonts w:hint="eastAsia" w:ascii="宋体" w:hAnsi="宋体" w:cs="宋体"/>
              </w:rPr>
              <w:t>工作处</w:t>
            </w:r>
          </w:p>
          <w:p>
            <w:pPr>
              <w:widowControl w:val="0"/>
              <w:spacing w:before="69" w:beforeLines="20" w:after="69" w:afterLines="20"/>
              <w:jc w:val="center"/>
              <w:rPr>
                <w:rFonts w:ascii="宋体" w:hAnsi="宋体" w:cs="宋体"/>
              </w:rPr>
            </w:pPr>
            <w:r>
              <w:rPr>
                <w:rFonts w:hint="eastAsia" w:ascii="宋体" w:hAnsi="宋体" w:cs="宋体"/>
              </w:rPr>
              <w:t>履职指标</w:t>
            </w:r>
          </w:p>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加强队伍建设</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306" w:lineRule="exact"/>
              <w:jc w:val="both"/>
              <w:rPr>
                <w:rFonts w:hint="eastAsia" w:ascii="仿宋_GB2312" w:eastAsia="仿宋_GB2312"/>
                <w:lang w:eastAsia="zh-CN"/>
              </w:rPr>
            </w:pPr>
            <w:r>
              <w:rPr>
                <w:rFonts w:hint="eastAsia" w:ascii="仿宋_GB2312" w:eastAsia="仿宋_GB2312"/>
              </w:rPr>
              <w:t>做好对各系部学生管理工作的监督和指导工作，开展对辅导员和班主任培训的培训和评先树优；加强学生干部队伍的选拔、建设和管理，加强院系学生会建设，发挥“自我教育，自我管理，自我服务，自我监督”作用</w:t>
            </w:r>
            <w:r>
              <w:rPr>
                <w:rFonts w:hint="eastAsia" w:ascii="仿宋_GB2312" w:eastAsia="仿宋_GB2312"/>
                <w:lang w:eastAsia="zh-CN"/>
              </w:rPr>
              <w:t>。</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left"/>
              <w:rPr>
                <w:rFonts w:ascii="仿宋_GB2312" w:eastAsia="仿宋_GB2312"/>
              </w:rPr>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70"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rPr>
            </w:pPr>
            <w:r>
              <w:rPr>
                <w:rFonts w:hint="eastAsia" w:ascii="宋体" w:hAnsi="宋体" w:cs="宋体"/>
              </w:rPr>
              <w:t>日常教育管理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306" w:lineRule="exact"/>
              <w:jc w:val="both"/>
              <w:rPr>
                <w:rFonts w:hint="eastAsia" w:ascii="仿宋_GB2312" w:eastAsia="仿宋_GB2312"/>
                <w:lang w:eastAsia="zh-CN"/>
              </w:rPr>
            </w:pPr>
            <w:r>
              <w:rPr>
                <w:rFonts w:hint="eastAsia" w:ascii="仿宋_GB2312" w:eastAsia="仿宋_GB2312"/>
              </w:rPr>
              <w:t>做好新生入学教育和军训工作；抓好学生日常的思想品德教育、心理健康教育、国防教育、安全知识及个人防范能力教育、相关素质教育等工作；开展优良校风、学风、班风建设专题活动；加强对学生评先树优、纪律处分的管理工作</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62"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jc w:val="center"/>
              <w:rPr>
                <w:rFonts w:ascii="宋体" w:hAnsi="宋体" w:cs="宋体"/>
              </w:rPr>
            </w:pPr>
          </w:p>
        </w:tc>
        <w:tc>
          <w:tcPr>
            <w:tcW w:w="9062" w:type="dxa"/>
            <w:vAlign w:val="center"/>
          </w:tcPr>
          <w:p>
            <w:pPr>
              <w:widowControl w:val="0"/>
              <w:spacing w:line="306" w:lineRule="exact"/>
              <w:jc w:val="both"/>
              <w:rPr>
                <w:rFonts w:ascii="仿宋_GB2312" w:eastAsia="仿宋_GB2312"/>
              </w:rPr>
            </w:pPr>
            <w:r>
              <w:rPr>
                <w:rFonts w:hint="eastAsia" w:ascii="仿宋_GB2312" w:eastAsia="仿宋_GB2312"/>
              </w:rPr>
              <w:t>制订心理健康教育计划，开展心理调查活动，建立新生心理健康教育档案。发挥心理健康中心作用，及时开展心理健康咨询，活动有记录，资料齐全。每缺一项减0.2分。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jc w:val="center"/>
              <w:rPr>
                <w:rFonts w:ascii="宋体" w:hAnsi="宋体" w:cs="宋体"/>
              </w:rPr>
            </w:pPr>
          </w:p>
        </w:tc>
        <w:tc>
          <w:tcPr>
            <w:tcW w:w="9062" w:type="dxa"/>
            <w:vAlign w:val="center"/>
          </w:tcPr>
          <w:p>
            <w:pPr>
              <w:widowControl w:val="0"/>
              <w:spacing w:line="306" w:lineRule="exact"/>
              <w:jc w:val="both"/>
              <w:rPr>
                <w:rFonts w:ascii="仿宋_GB2312" w:eastAsia="仿宋_GB2312"/>
              </w:rPr>
            </w:pPr>
            <w:r>
              <w:rPr>
                <w:rFonts w:hint="eastAsia" w:ascii="仿宋_GB2312" w:eastAsia="仿宋_GB2312"/>
              </w:rPr>
              <w:t>做好征兵入伍等工作，有计划、有措施、有落实、效果好，每有一项达不到要求减0.5分。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jc w:val="center"/>
              <w:rPr>
                <w:rFonts w:ascii="宋体" w:hAnsi="宋体" w:cs="宋体"/>
              </w:rPr>
            </w:pPr>
          </w:p>
        </w:tc>
        <w:tc>
          <w:tcPr>
            <w:tcW w:w="9062" w:type="dxa"/>
            <w:vAlign w:val="center"/>
          </w:tcPr>
          <w:p>
            <w:pPr>
              <w:widowControl w:val="0"/>
              <w:spacing w:line="306" w:lineRule="exact"/>
              <w:jc w:val="both"/>
              <w:rPr>
                <w:rFonts w:hint="eastAsia" w:ascii="仿宋_GB2312" w:eastAsia="仿宋_GB2312"/>
                <w:lang w:eastAsia="zh-CN"/>
              </w:rPr>
            </w:pPr>
            <w:r>
              <w:rPr>
                <w:rFonts w:hint="eastAsia" w:ascii="仿宋_GB2312" w:eastAsia="仿宋_GB2312"/>
              </w:rPr>
              <w:t>开展科技、文化、艺术、体育等丰富多彩健康向上的校园文化活动，全面强化学生的综合素质(学期内无一次活动或活动组织不周密出现事故，扣2分)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6"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学生奖资助</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306" w:lineRule="exact"/>
              <w:jc w:val="both"/>
              <w:rPr>
                <w:rFonts w:ascii="仿宋_GB2312" w:eastAsia="仿宋_GB2312"/>
              </w:rPr>
            </w:pPr>
            <w:r>
              <w:rPr>
                <w:rFonts w:hint="eastAsia" w:ascii="仿宋_GB2312" w:eastAsia="仿宋_GB2312"/>
              </w:rPr>
              <w:t>做好奖、助学金、学费减免和补偿、生源地助学贷款的相关工作，做到公开、公平、公正(档案管理不规范或出现差错，1次扣2分)；健全和完善经济困难学生资助体系，为贫困生提供勤工俭学岗位(学生需要多而又未提供足，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35"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宿舍管理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306" w:lineRule="exact"/>
              <w:jc w:val="both"/>
              <w:rPr>
                <w:rFonts w:ascii="仿宋_GB2312" w:eastAsia="仿宋_GB2312"/>
              </w:rPr>
            </w:pPr>
            <w:r>
              <w:rPr>
                <w:rFonts w:hint="eastAsia" w:ascii="仿宋_GB2312" w:eastAsia="仿宋_GB2312"/>
              </w:rPr>
              <w:t>监督物业公司做好宿舍管理相关工作，落实宿舍管理制度、考核办法、工作检查记录。严格日常考评制度，工作有记录及时反馈信息。职责不明、记录不细等，每项减0.2分，工作失误每人次减0.5分；落实宿舍安全责任制，出现责任事故，每次减1分；组织开展宿舍文化节、文明宿舍评比活动。</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01"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共青团工作</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306" w:lineRule="exact"/>
              <w:jc w:val="both"/>
              <w:rPr>
                <w:rFonts w:ascii="仿宋_GB2312" w:eastAsia="仿宋_GB2312"/>
              </w:rPr>
            </w:pPr>
            <w:r>
              <w:rPr>
                <w:rFonts w:hint="eastAsia" w:ascii="仿宋_GB2312" w:eastAsia="仿宋_GB2312"/>
              </w:rPr>
              <w:t>加强团员教育、团干部管理、培训和考核，指导各系部做好新团员发展工作，团员年度注册、团费收缴、团组织关系转移等相关工作(学期内无教育培训活动扣1分，相关管理工作出差错1次扣1分) ；指导、审查各系部入党推优工作(工作不及时或不认真造成影响，扣2分)；做好团组织内部的评先树优和奖惩(工作不遵循公开、公平、公正原则，造成不良影响，扣2分)；加强对学生社团的引导和管理；组织学生志愿服务与社会实践活动。无计划、无总结、无报道每项减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1234" w:type="dxa"/>
            <w:vMerge w:val="restart"/>
            <w:vAlign w:val="center"/>
          </w:tcPr>
          <w:p>
            <w:pPr>
              <w:widowControl w:val="0"/>
              <w:spacing w:before="69" w:beforeLines="20" w:after="69" w:afterLines="20"/>
              <w:jc w:val="center"/>
              <w:rPr>
                <w:rFonts w:hint="eastAsia" w:ascii="宋体" w:hAnsi="宋体" w:cs="宋体"/>
              </w:rPr>
            </w:pPr>
            <w:r>
              <w:rPr>
                <w:rFonts w:hint="eastAsia" w:ascii="宋体" w:hAnsi="宋体" w:cs="宋体"/>
              </w:rPr>
              <w:t>教务</w:t>
            </w:r>
          </w:p>
          <w:p>
            <w:pPr>
              <w:widowControl w:val="0"/>
              <w:spacing w:before="69" w:beforeLines="20" w:after="69" w:afterLines="20"/>
              <w:jc w:val="center"/>
              <w:rPr>
                <w:rFonts w:hint="eastAsia" w:ascii="宋体" w:hAnsi="宋体" w:cs="宋体"/>
              </w:rPr>
            </w:pPr>
            <w:r>
              <w:rPr>
                <w:rFonts w:hint="eastAsia" w:ascii="宋体" w:hAnsi="宋体" w:cs="宋体"/>
              </w:rPr>
              <w:t>科研处</w:t>
            </w:r>
          </w:p>
          <w:p>
            <w:pPr>
              <w:widowControl w:val="0"/>
              <w:spacing w:before="69" w:beforeLines="20" w:after="69" w:afterLines="20"/>
              <w:jc w:val="center"/>
              <w:rPr>
                <w:rFonts w:ascii="宋体" w:hAnsi="宋体" w:cs="宋体"/>
              </w:rPr>
            </w:pPr>
            <w:r>
              <w:rPr>
                <w:rFonts w:hint="eastAsia" w:ascii="宋体" w:hAnsi="宋体" w:cs="宋体"/>
              </w:rPr>
              <w:t>履职指标</w:t>
            </w:r>
          </w:p>
        </w:tc>
        <w:tc>
          <w:tcPr>
            <w:tcW w:w="1770" w:type="dxa"/>
            <w:vAlign w:val="center"/>
          </w:tcPr>
          <w:p>
            <w:pPr>
              <w:widowControl w:val="0"/>
              <w:jc w:val="center"/>
              <w:rPr>
                <w:rFonts w:ascii="宋体" w:hAnsi="宋体" w:cs="宋体"/>
              </w:rPr>
            </w:pPr>
            <w:r>
              <w:rPr>
                <w:rFonts w:hint="eastAsia" w:ascii="宋体" w:hAnsi="宋体" w:cs="宋体"/>
              </w:rPr>
              <w:t>专业建设管理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制定学院专业建设规划，明确学院专业专业（群）发展方向；指导各专业（群）制定专业人才培养方案和课程标准，并对培养方案和课程标准有评价，每缺1个专业人才培养方案减0.5分；每缺1个课程标，减0.1分，每缺少一个评价结果减0.2分；建立专业动态调整机制。对现有专业进行适当的充实、调整、优化，新专业的设置与老专业的撤销，专业评价有组织，有结论，未组织或未有结论减0.5分。</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left"/>
              <w:rPr>
                <w:rFonts w:ascii="仿宋_GB2312" w:eastAsia="仿宋_GB2312"/>
              </w:rPr>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2"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课程建设管理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制定学院课程建设规划，按照学院课程建设管理有关制度的规定，构建院级、院级重点、省级、国家级四级课程体系，大力推各种课程改革的经验和做法；指导系部开展课程建设，组织开展精品课程建设，未组织未开展减1分。组织开展课程思政建设活动；开展校本研究，编写活页式项目化教材，积极推进教学资源库建设。加强教材征订的审批、购置，发放及时，账目清楚。</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84"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教学日常管理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before="69" w:beforeLines="20" w:after="69" w:afterLines="20"/>
              <w:jc w:val="both"/>
              <w:rPr>
                <w:rFonts w:hint="eastAsia" w:ascii="仿宋_GB2312" w:eastAsia="仿宋_GB2312"/>
                <w:lang w:eastAsia="zh-CN"/>
              </w:rPr>
            </w:pPr>
            <w:r>
              <w:rPr>
                <w:rFonts w:hint="eastAsia" w:ascii="仿宋_GB2312" w:eastAsia="仿宋_GB2312"/>
              </w:rPr>
              <w:t>开展期初、期中、期末教学检查；建立教学信息反馈制度；组织期末学生评教；组织学院各级教学管理人员定期深入课堂听课，全面了解教师教课与学生学习的情况，及时解决存在的问题；建立多元化的考试考核评价机制；学生学业成绩收集、入库准确及时</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67"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Align w:val="center"/>
          </w:tcPr>
          <w:p>
            <w:pPr>
              <w:widowControl w:val="0"/>
              <w:spacing w:before="69" w:beforeLines="20" w:after="69" w:afterLines="20"/>
              <w:jc w:val="center"/>
              <w:rPr>
                <w:rFonts w:ascii="宋体" w:hAnsi="宋体" w:cs="宋体"/>
              </w:rPr>
            </w:pPr>
            <w:r>
              <w:rPr>
                <w:rFonts w:hint="eastAsia" w:ascii="宋体" w:hAnsi="宋体" w:cs="宋体"/>
              </w:rPr>
              <w:t>教学改革</w:t>
            </w:r>
          </w:p>
          <w:p>
            <w:pPr>
              <w:widowControl w:val="0"/>
              <w:spacing w:before="69" w:beforeLines="20" w:after="69" w:afterLines="20"/>
              <w:jc w:val="center"/>
              <w:rPr>
                <w:rFonts w:ascii="宋体" w:hAnsi="宋体" w:cs="宋体"/>
              </w:rPr>
            </w:pPr>
            <w:r>
              <w:rPr>
                <w:rFonts w:hint="eastAsia" w:ascii="宋体" w:hAnsi="宋体" w:cs="宋体"/>
              </w:rPr>
              <w:t>（20分）</w:t>
            </w: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积极推进人才培养方案的实施，在教学过程中，结合实际有选择地运用工学交替、任务驱动、项目导向、线上线下混合、顶岗实习等教学模式，推行情境教学、项目教学等新型教学方法，并适时对成功经验加以推广；以产教融合、校企合作为切入点，推行与生产劳动和社会实践相结合的学习模式，贴近岗位建课程，贴近实践开课堂，积极推行三教改革；组织教师说课、优质课或观摩课评比活动、教学能力大赛。</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17"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教科研工作</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落实《教科研项目管理办法》，积极开展教研活动。积极组织纵、横向教科研课题的申报、鉴定、奖励、验收及转化等工作。</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16" w:hRule="atLeast"/>
          <w:jc w:val="center"/>
        </w:trPr>
        <w:tc>
          <w:tcPr>
            <w:tcW w:w="1234" w:type="dxa"/>
            <w:vMerge w:val="restart"/>
            <w:vAlign w:val="center"/>
          </w:tcPr>
          <w:p>
            <w:pPr>
              <w:widowControl w:val="0"/>
              <w:spacing w:before="69" w:beforeLines="20" w:after="69" w:afterLines="20"/>
              <w:jc w:val="center"/>
              <w:rPr>
                <w:rFonts w:hint="eastAsia" w:ascii="宋体" w:hAnsi="宋体" w:cs="宋体"/>
              </w:rPr>
            </w:pPr>
            <w:r>
              <w:rPr>
                <w:rFonts w:hint="eastAsia" w:ascii="宋体" w:hAnsi="宋体" w:cs="宋体"/>
              </w:rPr>
              <w:t>教学</w:t>
            </w:r>
          </w:p>
          <w:p>
            <w:pPr>
              <w:widowControl w:val="0"/>
              <w:spacing w:before="69" w:beforeLines="20" w:after="69" w:afterLines="20"/>
              <w:jc w:val="center"/>
              <w:rPr>
                <w:rFonts w:hint="eastAsia" w:ascii="宋体" w:hAnsi="宋体" w:cs="宋体"/>
              </w:rPr>
            </w:pPr>
            <w:r>
              <w:rPr>
                <w:rFonts w:hint="eastAsia" w:ascii="宋体" w:hAnsi="宋体" w:cs="宋体"/>
              </w:rPr>
              <w:t>督导室</w:t>
            </w:r>
          </w:p>
          <w:p>
            <w:pPr>
              <w:widowControl w:val="0"/>
              <w:spacing w:before="69" w:beforeLines="20" w:after="69" w:afterLines="20"/>
              <w:jc w:val="center"/>
              <w:rPr>
                <w:rFonts w:ascii="宋体" w:hAnsi="宋体" w:cs="宋体"/>
              </w:rPr>
            </w:pPr>
            <w:r>
              <w:rPr>
                <w:rFonts w:hint="eastAsia" w:ascii="宋体" w:hAnsi="宋体" w:cs="宋体"/>
              </w:rPr>
              <w:t>履职指标</w:t>
            </w:r>
          </w:p>
          <w:p>
            <w:pPr>
              <w:widowControl w:val="0"/>
              <w:spacing w:before="69" w:beforeLines="20" w:after="69" w:afterLines="20"/>
              <w:jc w:val="center"/>
              <w:rPr>
                <w:rFonts w:ascii="宋体" w:hAnsi="宋体" w:cs="宋体"/>
              </w:rPr>
            </w:pPr>
          </w:p>
        </w:tc>
        <w:tc>
          <w:tcPr>
            <w:tcW w:w="1770" w:type="dxa"/>
            <w:vAlign w:val="center"/>
          </w:tcPr>
          <w:p>
            <w:pPr>
              <w:widowControl w:val="0"/>
              <w:spacing w:before="69" w:beforeLines="20" w:after="69" w:afterLines="20"/>
              <w:jc w:val="center"/>
              <w:rPr>
                <w:rFonts w:ascii="宋体" w:hAnsi="宋体" w:cs="宋体"/>
              </w:rPr>
            </w:pPr>
            <w:r>
              <w:rPr>
                <w:rFonts w:hint="eastAsia" w:ascii="宋体" w:hAnsi="宋体" w:cs="宋体"/>
              </w:rPr>
              <w:t>健全督导机制（20分）</w:t>
            </w: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建立院系两级督导组织，加强学院督导员队伍的选聘、监管，确保督导员队伍具备较强的业务能力和责任心。建立健全教学督导工作机制，推进制度创新，改进督导程序与方法，开展教学督导工作研究。</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left"/>
              <w:rPr>
                <w:rFonts w:ascii="仿宋_GB2312" w:eastAsia="仿宋_GB2312"/>
              </w:rPr>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43"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Align w:val="center"/>
          </w:tcPr>
          <w:p>
            <w:pPr>
              <w:widowControl w:val="0"/>
              <w:spacing w:before="69" w:beforeLines="20" w:after="69" w:afterLines="20"/>
              <w:jc w:val="center"/>
              <w:rPr>
                <w:rFonts w:ascii="宋体" w:hAnsi="宋体" w:cs="宋体"/>
              </w:rPr>
            </w:pPr>
            <w:r>
              <w:rPr>
                <w:rFonts w:hint="eastAsia" w:ascii="宋体" w:hAnsi="宋体" w:cs="宋体"/>
              </w:rPr>
              <w:t>开展督导听课</w:t>
            </w:r>
          </w:p>
          <w:p>
            <w:pPr>
              <w:widowControl w:val="0"/>
              <w:spacing w:before="69" w:beforeLines="20" w:after="69" w:afterLines="20"/>
              <w:jc w:val="center"/>
              <w:rPr>
                <w:rFonts w:ascii="宋体" w:hAnsi="宋体" w:cs="宋体"/>
              </w:rPr>
            </w:pPr>
            <w:r>
              <w:rPr>
                <w:rFonts w:hint="eastAsia" w:ascii="宋体" w:hAnsi="宋体" w:cs="宋体"/>
              </w:rPr>
              <w:t>（20分）</w:t>
            </w: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组织督导员开展课堂听课（含理论课、实验、实训课）评课工作。同时，检查学院教学管理制度、人才培养方案、课程标准以及授课计划等的执行情况，提交书面的课堂听课记录和学期听课总结，每少一人听课记录减0.5分，每少一人听课总结减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restart"/>
            <w:vAlign w:val="center"/>
          </w:tcPr>
          <w:p>
            <w:pPr>
              <w:widowControl w:val="0"/>
              <w:spacing w:before="69" w:beforeLines="20" w:after="69" w:afterLines="20"/>
              <w:jc w:val="center"/>
              <w:rPr>
                <w:rFonts w:ascii="宋体" w:hAnsi="宋体" w:cs="宋体"/>
              </w:rPr>
            </w:pPr>
            <w:r>
              <w:rPr>
                <w:rFonts w:hint="eastAsia" w:ascii="宋体" w:hAnsi="宋体" w:cs="宋体"/>
              </w:rPr>
              <w:t>实施综合考核（20分）</w:t>
            </w: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制订并根据需要及时修订完善部门考核办法，未按照规定及时修订完善本办法，每出现一次减1分。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坚持公开、公平、公正的原则，组织实施本年度考核，若因违背考核原则而引起大范围投诉，每出现一次减1分。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按照院领导的安排，做好与综合工作考核相关的事务性工作；及时向院领导报告综合考核结果。</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restart"/>
            <w:vAlign w:val="center"/>
          </w:tcPr>
          <w:p>
            <w:pPr>
              <w:widowControl w:val="0"/>
              <w:spacing w:before="69" w:beforeLines="20" w:after="69" w:afterLines="20"/>
              <w:jc w:val="center"/>
              <w:rPr>
                <w:rFonts w:ascii="宋体" w:hAnsi="宋体" w:cs="宋体"/>
              </w:rPr>
            </w:pPr>
            <w:r>
              <w:rPr>
                <w:rFonts w:hint="eastAsia" w:ascii="宋体" w:hAnsi="宋体" w:cs="宋体"/>
              </w:rPr>
              <w:t>加强数据管理</w:t>
            </w:r>
          </w:p>
          <w:p>
            <w:pPr>
              <w:widowControl w:val="0"/>
              <w:spacing w:before="69" w:beforeLines="20" w:after="69" w:afterLines="20"/>
              <w:jc w:val="center"/>
              <w:rPr>
                <w:rFonts w:ascii="宋体" w:hAnsi="宋体" w:cs="宋体"/>
              </w:rPr>
            </w:pPr>
            <w:r>
              <w:rPr>
                <w:rFonts w:hint="eastAsia" w:ascii="宋体" w:hAnsi="宋体" w:cs="宋体"/>
              </w:rPr>
              <w:t>（20分）</w:t>
            </w: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组织高职院校人才培养工作状态数据采集平台的各项工作。数据采集不及时，影响上报，每项减0.5分。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及时解决和处理数据采集过程中的问题。对数据采集过程中出现的工作失误，每出现一次扣2分。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9"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组织各部门编制数据分析报告。撰写学院数据分析报告并及时上报省教育厅。</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0"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Align w:val="center"/>
          </w:tcPr>
          <w:p>
            <w:pPr>
              <w:widowControl w:val="0"/>
              <w:spacing w:before="69" w:beforeLines="20" w:after="69" w:afterLines="20"/>
              <w:jc w:val="center"/>
              <w:rPr>
                <w:rFonts w:ascii="宋体" w:hAnsi="宋体" w:cs="宋体"/>
              </w:rPr>
            </w:pPr>
            <w:r>
              <w:rPr>
                <w:rFonts w:hint="eastAsia" w:ascii="宋体" w:hAnsi="宋体" w:cs="宋体"/>
              </w:rPr>
              <w:t>编制质量年报</w:t>
            </w:r>
          </w:p>
          <w:p>
            <w:pPr>
              <w:widowControl w:val="0"/>
              <w:spacing w:before="69" w:beforeLines="20" w:after="69" w:afterLines="20"/>
              <w:jc w:val="center"/>
              <w:rPr>
                <w:rFonts w:ascii="宋体" w:hAnsi="宋体" w:cs="宋体"/>
              </w:rPr>
            </w:pPr>
            <w:r>
              <w:rPr>
                <w:rFonts w:hint="eastAsia" w:ascii="宋体" w:hAnsi="宋体" w:cs="宋体"/>
              </w:rPr>
              <w:t>（20分）</w:t>
            </w:r>
          </w:p>
        </w:tc>
        <w:tc>
          <w:tcPr>
            <w:tcW w:w="9062" w:type="dxa"/>
            <w:vAlign w:val="center"/>
          </w:tcPr>
          <w:p>
            <w:pPr>
              <w:widowControl w:val="0"/>
              <w:spacing w:before="69" w:beforeLines="20" w:after="69" w:afterLines="20"/>
              <w:jc w:val="both"/>
              <w:rPr>
                <w:rFonts w:ascii="仿宋_GB2312" w:eastAsia="仿宋_GB2312"/>
              </w:rPr>
            </w:pPr>
            <w:r>
              <w:rPr>
                <w:rFonts w:hint="eastAsia" w:ascii="仿宋_GB2312" w:eastAsia="仿宋_GB2312"/>
              </w:rPr>
              <w:t>统筹全院年度质量报告编制工作，撰写学院年度质量报告并及时上报省教育厅和教育部网站。</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27" w:hRule="atLeast"/>
          <w:jc w:val="center"/>
        </w:trPr>
        <w:tc>
          <w:tcPr>
            <w:tcW w:w="1234" w:type="dxa"/>
            <w:vMerge w:val="restart"/>
            <w:vAlign w:val="center"/>
          </w:tcPr>
          <w:p>
            <w:pPr>
              <w:widowControl w:val="0"/>
              <w:spacing w:before="69" w:beforeLines="20" w:after="69" w:afterLines="20"/>
              <w:jc w:val="center"/>
              <w:rPr>
                <w:rFonts w:hint="eastAsia" w:ascii="宋体" w:hAnsi="宋体" w:cs="宋体"/>
              </w:rPr>
            </w:pPr>
            <w:r>
              <w:rPr>
                <w:rFonts w:hint="eastAsia" w:ascii="宋体" w:hAnsi="宋体" w:cs="宋体"/>
              </w:rPr>
              <w:t>招生</w:t>
            </w:r>
          </w:p>
          <w:p>
            <w:pPr>
              <w:widowControl w:val="0"/>
              <w:spacing w:before="69" w:beforeLines="20" w:after="69" w:afterLines="20"/>
              <w:jc w:val="center"/>
              <w:rPr>
                <w:rFonts w:hint="eastAsia" w:ascii="宋体" w:hAnsi="宋体" w:cs="宋体"/>
              </w:rPr>
            </w:pPr>
            <w:r>
              <w:rPr>
                <w:rFonts w:hint="eastAsia" w:ascii="宋体" w:hAnsi="宋体" w:cs="宋体"/>
              </w:rPr>
              <w:t>就业处</w:t>
            </w:r>
          </w:p>
          <w:p>
            <w:pPr>
              <w:widowControl w:val="0"/>
              <w:spacing w:before="69" w:beforeLines="20" w:after="69" w:afterLines="20"/>
              <w:jc w:val="center"/>
              <w:rPr>
                <w:rFonts w:ascii="宋体" w:hAnsi="宋体" w:cs="宋体"/>
              </w:rPr>
            </w:pPr>
            <w:r>
              <w:rPr>
                <w:rFonts w:hint="eastAsia" w:ascii="宋体" w:hAnsi="宋体" w:cs="宋体"/>
              </w:rPr>
              <w:t>履职指标</w:t>
            </w:r>
          </w:p>
        </w:tc>
        <w:tc>
          <w:tcPr>
            <w:tcW w:w="1770" w:type="dxa"/>
            <w:vAlign w:val="center"/>
          </w:tcPr>
          <w:p>
            <w:pPr>
              <w:widowControl w:val="0"/>
              <w:spacing w:before="69" w:beforeLines="20" w:after="69" w:afterLines="20"/>
              <w:jc w:val="center"/>
              <w:rPr>
                <w:rFonts w:ascii="宋体" w:hAnsi="宋体" w:cs="宋体"/>
              </w:rPr>
            </w:pPr>
            <w:r>
              <w:rPr>
                <w:rFonts w:hint="eastAsia" w:ascii="宋体" w:hAnsi="宋体" w:cs="宋体"/>
              </w:rPr>
              <w:t>招生信息发布（20分）</w:t>
            </w:r>
          </w:p>
        </w:tc>
        <w:tc>
          <w:tcPr>
            <w:tcW w:w="9062" w:type="dxa"/>
            <w:vAlign w:val="center"/>
          </w:tcPr>
          <w:p>
            <w:pPr>
              <w:widowControl w:val="0"/>
              <w:spacing w:line="300" w:lineRule="exact"/>
              <w:jc w:val="both"/>
              <w:rPr>
                <w:rFonts w:ascii="仿宋_GB2312" w:eastAsia="仿宋_GB2312"/>
              </w:rPr>
            </w:pPr>
            <w:r>
              <w:rPr>
                <w:rFonts w:hint="eastAsia" w:ascii="仿宋_GB2312" w:eastAsia="仿宋_GB2312"/>
              </w:rPr>
              <w:t>制定学院招生简章，通过各种媒体及招生网络平台及时发布招生信息，做好招生咨询(简章等出现差错，造成影响，1项次扣0.5分，信息发布、咨询不及时或出现差错，1次扣0.2分)。</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both"/>
              <w:rPr>
                <w:rFonts w:ascii="仿宋_GB2312" w:eastAsia="仿宋_GB2312"/>
              </w:rPr>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Align w:val="center"/>
          </w:tcPr>
          <w:p>
            <w:pPr>
              <w:widowControl w:val="0"/>
              <w:spacing w:before="69" w:beforeLines="20" w:after="69" w:afterLines="20"/>
              <w:jc w:val="center"/>
              <w:rPr>
                <w:rFonts w:hint="eastAsia" w:ascii="宋体" w:hAnsi="宋体" w:cs="宋体"/>
              </w:rPr>
            </w:pPr>
            <w:r>
              <w:rPr>
                <w:rFonts w:hint="eastAsia" w:ascii="宋体" w:hAnsi="宋体" w:cs="宋体"/>
              </w:rPr>
              <w:t>招生工作</w:t>
            </w:r>
          </w:p>
          <w:p>
            <w:pPr>
              <w:widowControl w:val="0"/>
              <w:spacing w:before="69" w:beforeLines="20" w:after="69" w:afterLines="20"/>
              <w:jc w:val="center"/>
              <w:rPr>
                <w:rFonts w:ascii="宋体" w:hAnsi="宋体" w:cs="宋体"/>
              </w:rPr>
            </w:pPr>
            <w:r>
              <w:rPr>
                <w:rFonts w:hint="eastAsia" w:ascii="宋体" w:hAnsi="宋体" w:cs="宋体"/>
              </w:rPr>
              <w:t>（20分）</w:t>
            </w:r>
          </w:p>
        </w:tc>
        <w:tc>
          <w:tcPr>
            <w:tcW w:w="9062" w:type="dxa"/>
            <w:vAlign w:val="center"/>
          </w:tcPr>
          <w:p>
            <w:pPr>
              <w:widowControl w:val="0"/>
              <w:spacing w:line="300" w:lineRule="exact"/>
              <w:jc w:val="both"/>
              <w:rPr>
                <w:rFonts w:ascii="仿宋_GB2312" w:eastAsia="仿宋_GB2312"/>
              </w:rPr>
            </w:pPr>
            <w:r>
              <w:rPr>
                <w:rFonts w:hint="eastAsia" w:ascii="仿宋_GB2312" w:eastAsia="仿宋_GB2312"/>
              </w:rPr>
              <w:t>统筹抓好学院单招、夏招等各阶段招生任务。建立全院招生工作网络，对各系部招生工作进行督促检查、考核评比（学年内无督促检查，扣1分）。</w:t>
            </w:r>
          </w:p>
        </w:tc>
        <w:tc>
          <w:tcPr>
            <w:tcW w:w="2105" w:type="dxa"/>
            <w:vMerge w:val="continue"/>
          </w:tcPr>
          <w:p>
            <w:pPr>
              <w:widowControl w:val="0"/>
              <w:spacing w:before="69" w:beforeLines="20" w:after="69" w:afterLines="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29"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spacing w:before="69" w:beforeLines="20" w:after="69" w:afterLines="20"/>
              <w:jc w:val="center"/>
              <w:rPr>
                <w:rFonts w:ascii="宋体" w:hAnsi="宋体" w:cs="宋体"/>
              </w:rPr>
            </w:pPr>
            <w:r>
              <w:rPr>
                <w:rFonts w:hint="eastAsia" w:ascii="宋体" w:hAnsi="宋体" w:cs="宋体"/>
              </w:rPr>
              <w:t>就业管理</w:t>
            </w:r>
          </w:p>
          <w:p>
            <w:pPr>
              <w:widowControl w:val="0"/>
              <w:spacing w:before="69" w:beforeLines="20" w:after="69" w:afterLines="20"/>
              <w:jc w:val="center"/>
              <w:rPr>
                <w:rFonts w:ascii="宋体" w:hAnsi="宋体" w:cs="宋体"/>
              </w:rPr>
            </w:pPr>
            <w:r>
              <w:rPr>
                <w:rFonts w:hint="eastAsia" w:ascii="宋体" w:hAnsi="宋体" w:cs="宋体"/>
              </w:rPr>
              <w:t>（20分）</w:t>
            </w:r>
          </w:p>
        </w:tc>
        <w:tc>
          <w:tcPr>
            <w:tcW w:w="9062" w:type="dxa"/>
            <w:vAlign w:val="center"/>
          </w:tcPr>
          <w:p>
            <w:pPr>
              <w:widowControl w:val="0"/>
              <w:spacing w:line="300" w:lineRule="exact"/>
              <w:jc w:val="both"/>
              <w:rPr>
                <w:rFonts w:ascii="仿宋_GB2312" w:eastAsia="仿宋_GB2312"/>
              </w:rPr>
            </w:pPr>
            <w:r>
              <w:rPr>
                <w:rFonts w:hint="eastAsia" w:ascii="仿宋_GB2312" w:eastAsia="仿宋_GB2312"/>
              </w:rPr>
              <w:t>做好就业市场开拓与调查工作，严格审核就业单位的规模、性质、工作岗位、月薪、稳定性等项目，提高就业满意度，每学期至少有1次调查(不组织扣1分)。</w:t>
            </w:r>
          </w:p>
        </w:tc>
        <w:tc>
          <w:tcPr>
            <w:tcW w:w="2105" w:type="dxa"/>
            <w:vMerge w:val="continue"/>
          </w:tcPr>
          <w:p>
            <w:pPr>
              <w:widowControl w:val="0"/>
              <w:spacing w:before="69" w:beforeLines="20" w:after="69" w:afterLines="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8"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300" w:lineRule="exact"/>
              <w:jc w:val="both"/>
              <w:rPr>
                <w:rFonts w:ascii="仿宋_GB2312" w:eastAsia="仿宋_GB2312"/>
              </w:rPr>
            </w:pPr>
            <w:r>
              <w:rPr>
                <w:rFonts w:hint="eastAsia" w:ascii="仿宋_GB2312" w:eastAsia="仿宋_GB2312"/>
              </w:rPr>
              <w:t>充分利用“学院招生就业网”，及时发布就业政策、招聘等信息(不发布或3月不更新，扣1分)。</w:t>
            </w:r>
          </w:p>
        </w:tc>
        <w:tc>
          <w:tcPr>
            <w:tcW w:w="2105" w:type="dxa"/>
            <w:vMerge w:val="continue"/>
          </w:tcPr>
          <w:p>
            <w:pPr>
              <w:widowControl w:val="0"/>
              <w:spacing w:before="69" w:beforeLines="20" w:after="69" w:afterLines="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37"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300" w:lineRule="exact"/>
              <w:jc w:val="both"/>
              <w:rPr>
                <w:rFonts w:ascii="仿宋_GB2312" w:eastAsia="仿宋_GB2312"/>
              </w:rPr>
            </w:pPr>
            <w:r>
              <w:rPr>
                <w:rFonts w:hint="eastAsia" w:ascii="仿宋_GB2312" w:eastAsia="仿宋_GB2312"/>
              </w:rPr>
              <w:t>突出系部为就业工作的主体地位，以各系部为主建立稳定的就业工作网络，推行系部就业工作责任制，对各系部就业工作进行督促检查（学年内无督促检查，扣1分）。</w:t>
            </w:r>
          </w:p>
        </w:tc>
        <w:tc>
          <w:tcPr>
            <w:tcW w:w="2105" w:type="dxa"/>
            <w:vMerge w:val="continue"/>
          </w:tcPr>
          <w:p>
            <w:pPr>
              <w:widowControl w:val="0"/>
              <w:spacing w:before="69" w:beforeLines="20" w:after="69" w:afterLines="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5"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300" w:lineRule="exact"/>
              <w:jc w:val="both"/>
              <w:rPr>
                <w:rFonts w:ascii="仿宋_GB2312" w:eastAsia="仿宋_GB2312"/>
              </w:rPr>
            </w:pPr>
            <w:r>
              <w:rPr>
                <w:rFonts w:hint="eastAsia" w:ascii="仿宋_GB2312" w:eastAsia="仿宋_GB2312"/>
              </w:rPr>
              <w:t>加强与人社部门、开发区的合作，视毕业生就业情况，每学年举办1~2次就业双选会（不举办，扣1分）。</w:t>
            </w:r>
          </w:p>
        </w:tc>
        <w:tc>
          <w:tcPr>
            <w:tcW w:w="2105" w:type="dxa"/>
            <w:vMerge w:val="continue"/>
          </w:tcPr>
          <w:p>
            <w:pPr>
              <w:widowControl w:val="0"/>
              <w:spacing w:before="69" w:beforeLines="20" w:after="69" w:afterLines="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86"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Align w:val="center"/>
          </w:tcPr>
          <w:p>
            <w:pPr>
              <w:widowControl w:val="0"/>
              <w:spacing w:before="69" w:beforeLines="20" w:after="69" w:afterLines="20"/>
              <w:jc w:val="center"/>
              <w:rPr>
                <w:rFonts w:ascii="宋体" w:hAnsi="宋体" w:cs="宋体"/>
              </w:rPr>
            </w:pPr>
            <w:r>
              <w:rPr>
                <w:rFonts w:hint="eastAsia" w:ascii="宋体" w:hAnsi="宋体" w:cs="宋体"/>
              </w:rPr>
              <w:t>就业创业教育（20分）</w:t>
            </w:r>
          </w:p>
        </w:tc>
        <w:tc>
          <w:tcPr>
            <w:tcW w:w="9062" w:type="dxa"/>
            <w:vAlign w:val="center"/>
          </w:tcPr>
          <w:p>
            <w:pPr>
              <w:widowControl w:val="0"/>
              <w:spacing w:line="300" w:lineRule="exact"/>
              <w:jc w:val="both"/>
              <w:rPr>
                <w:rFonts w:ascii="仿宋_GB2312" w:eastAsia="仿宋_GB2312"/>
              </w:rPr>
            </w:pPr>
            <w:r>
              <w:rPr>
                <w:rFonts w:hint="eastAsia" w:ascii="仿宋_GB2312" w:eastAsia="仿宋_GB2312"/>
              </w:rPr>
              <w:t>协助系部举办大学生就业、创业指导讲座，帮助学生提高就业能力（不协助举办讲座扣0.5分）；督促系部组织毕业生就业典型评选活动，大力宣传毕业生典型事迹，树立优秀典型（年内无组织活动，扣0.5分）对系毕业生就业指导检查每年至少4次。每少一次减0.2分。抓好创新创业工作，组织参加双创比赛，增强创新能力，提高学生创业率。</w:t>
            </w:r>
          </w:p>
        </w:tc>
        <w:tc>
          <w:tcPr>
            <w:tcW w:w="2105" w:type="dxa"/>
            <w:vMerge w:val="continue"/>
          </w:tcPr>
          <w:p>
            <w:pPr>
              <w:widowControl w:val="0"/>
              <w:spacing w:before="69" w:beforeLines="20" w:after="69" w:afterLines="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4"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spacing w:before="69" w:beforeLines="20" w:after="69" w:afterLines="20"/>
              <w:jc w:val="center"/>
              <w:rPr>
                <w:rFonts w:ascii="宋体" w:hAnsi="宋体" w:cs="宋体"/>
              </w:rPr>
            </w:pPr>
            <w:r>
              <w:rPr>
                <w:rFonts w:hint="eastAsia" w:ascii="宋体" w:hAnsi="宋体" w:cs="宋体"/>
              </w:rPr>
              <w:t>国际交流与合作（20分）</w:t>
            </w:r>
          </w:p>
        </w:tc>
        <w:tc>
          <w:tcPr>
            <w:tcW w:w="9062" w:type="dxa"/>
            <w:vAlign w:val="center"/>
          </w:tcPr>
          <w:p>
            <w:pPr>
              <w:widowControl w:val="0"/>
              <w:spacing w:line="300" w:lineRule="exact"/>
              <w:jc w:val="both"/>
              <w:rPr>
                <w:rFonts w:ascii="仿宋_GB2312" w:eastAsia="仿宋_GB2312"/>
              </w:rPr>
            </w:pPr>
            <w:r>
              <w:rPr>
                <w:rFonts w:hint="eastAsia" w:ascii="仿宋_GB2312" w:eastAsia="仿宋_GB2312"/>
              </w:rPr>
              <w:t>开拓国际交流与合作项目。</w:t>
            </w:r>
          </w:p>
        </w:tc>
        <w:tc>
          <w:tcPr>
            <w:tcW w:w="2105" w:type="dxa"/>
            <w:vMerge w:val="continue"/>
          </w:tcPr>
          <w:p>
            <w:pPr>
              <w:widowControl w:val="0"/>
              <w:spacing w:before="69" w:beforeLines="20" w:after="69" w:afterLines="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2" w:hRule="atLeast"/>
          <w:jc w:val="center"/>
        </w:trPr>
        <w:tc>
          <w:tcPr>
            <w:tcW w:w="1234" w:type="dxa"/>
            <w:vMerge w:val="continue"/>
          </w:tcPr>
          <w:p>
            <w:pPr>
              <w:widowControl w:val="0"/>
              <w:spacing w:before="69" w:beforeLines="20" w:after="69" w:afterLines="20"/>
              <w:jc w:val="center"/>
              <w:rPr>
                <w:rFonts w:ascii="仿宋_GB2312" w:eastAsia="仿宋_GB2312"/>
              </w:rPr>
            </w:pPr>
          </w:p>
        </w:tc>
        <w:tc>
          <w:tcPr>
            <w:tcW w:w="1770" w:type="dxa"/>
            <w:vMerge w:val="continue"/>
            <w:vAlign w:val="center"/>
          </w:tcPr>
          <w:p>
            <w:pPr>
              <w:widowControl w:val="0"/>
              <w:spacing w:before="69" w:beforeLines="20" w:after="69" w:afterLines="20"/>
              <w:jc w:val="center"/>
              <w:rPr>
                <w:rFonts w:ascii="仿宋_GB2312" w:eastAsia="仿宋_GB2312" w:hAnsiTheme="minorEastAsia"/>
              </w:rPr>
            </w:pPr>
          </w:p>
        </w:tc>
        <w:tc>
          <w:tcPr>
            <w:tcW w:w="9062" w:type="dxa"/>
            <w:vAlign w:val="center"/>
          </w:tcPr>
          <w:p>
            <w:pPr>
              <w:widowControl w:val="0"/>
              <w:spacing w:line="300" w:lineRule="exact"/>
              <w:jc w:val="both"/>
              <w:rPr>
                <w:rFonts w:ascii="仿宋_GB2312" w:eastAsia="仿宋_GB2312"/>
              </w:rPr>
            </w:pPr>
            <w:r>
              <w:rPr>
                <w:rFonts w:hint="eastAsia" w:ascii="仿宋_GB2312" w:eastAsia="仿宋_GB2312"/>
              </w:rPr>
              <w:t>为教师和学生提供出境服务。</w:t>
            </w:r>
          </w:p>
        </w:tc>
        <w:tc>
          <w:tcPr>
            <w:tcW w:w="2105" w:type="dxa"/>
            <w:vMerge w:val="continue"/>
          </w:tcPr>
          <w:p>
            <w:pPr>
              <w:widowControl w:val="0"/>
              <w:spacing w:before="69" w:beforeLines="20" w:after="69" w:afterLines="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05" w:hRule="atLeast"/>
          <w:jc w:val="center"/>
        </w:trPr>
        <w:tc>
          <w:tcPr>
            <w:tcW w:w="1234" w:type="dxa"/>
            <w:vMerge w:val="restart"/>
            <w:vAlign w:val="center"/>
          </w:tcPr>
          <w:p>
            <w:pPr>
              <w:widowControl w:val="0"/>
              <w:spacing w:before="69" w:beforeLines="20" w:after="69" w:afterLines="20"/>
              <w:jc w:val="center"/>
              <w:rPr>
                <w:rFonts w:ascii="宋体" w:hAnsi="宋体" w:cs="宋体"/>
              </w:rPr>
            </w:pPr>
            <w:r>
              <w:rPr>
                <w:rFonts w:hint="eastAsia" w:ascii="宋体" w:hAnsi="宋体" w:cs="宋体"/>
              </w:rPr>
              <w:t>财务处</w:t>
            </w:r>
          </w:p>
          <w:p>
            <w:pPr>
              <w:widowControl w:val="0"/>
              <w:spacing w:before="69" w:beforeLines="20" w:after="69" w:afterLines="20"/>
              <w:jc w:val="center"/>
              <w:rPr>
                <w:rFonts w:ascii="宋体" w:hAnsi="宋体" w:cs="宋体"/>
              </w:rPr>
            </w:pPr>
            <w:r>
              <w:rPr>
                <w:rFonts w:hint="eastAsia" w:ascii="宋体" w:hAnsi="宋体" w:cs="宋体"/>
              </w:rPr>
              <w:t>履职指标</w:t>
            </w:r>
          </w:p>
        </w:tc>
        <w:tc>
          <w:tcPr>
            <w:tcW w:w="1770" w:type="dxa"/>
            <w:vAlign w:val="center"/>
          </w:tcPr>
          <w:p>
            <w:pPr>
              <w:widowControl w:val="0"/>
              <w:jc w:val="center"/>
              <w:rPr>
                <w:rFonts w:ascii="宋体" w:hAnsi="宋体" w:cs="宋体"/>
              </w:rPr>
            </w:pPr>
            <w:r>
              <w:rPr>
                <w:rFonts w:hint="eastAsia" w:ascii="宋体" w:hAnsi="宋体" w:cs="宋体"/>
              </w:rPr>
              <w:t>资金筹集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300" w:lineRule="exact"/>
              <w:jc w:val="both"/>
              <w:rPr>
                <w:rFonts w:ascii="仿宋_GB2312" w:hAnsi="宋体" w:eastAsia="仿宋_GB2312" w:cs="宋体"/>
              </w:rPr>
            </w:pPr>
            <w:r>
              <w:rPr>
                <w:rFonts w:hint="eastAsia" w:ascii="仿宋_GB2312" w:hAnsi="宋体" w:eastAsia="仿宋_GB2312" w:cs="宋体"/>
              </w:rPr>
              <w:t>争取各类财政专项扶持资金；适度使用银行贷款弥补资金缺口；多方拓展财源；积极清理呆账坏账、盘活流动资产加快资金周转、提高固定资产教学仪器设备使用率。</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jc w:val="left"/>
              <w:rPr>
                <w:rFonts w:ascii="仿宋_GB2312" w:hAnsi="宋体" w:eastAsia="仿宋_GB2312" w:cs="宋体"/>
              </w:rPr>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24"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rPr>
            </w:pPr>
            <w:r>
              <w:rPr>
                <w:rFonts w:hint="eastAsia" w:ascii="宋体" w:hAnsi="宋体" w:cs="宋体"/>
              </w:rPr>
              <w:t>预决算编制</w:t>
            </w:r>
          </w:p>
          <w:p>
            <w:pPr>
              <w:widowControl w:val="0"/>
              <w:spacing w:before="69" w:beforeLines="20" w:after="69" w:afterLines="20"/>
              <w:jc w:val="center"/>
              <w:rPr>
                <w:rFonts w:ascii="宋体" w:hAnsi="宋体" w:cs="宋体"/>
              </w:rPr>
            </w:pPr>
            <w:r>
              <w:rPr>
                <w:rFonts w:hint="eastAsia" w:ascii="宋体" w:hAnsi="宋体" w:cs="宋体"/>
              </w:rPr>
              <w:t>与管理</w:t>
            </w:r>
          </w:p>
          <w:p>
            <w:pPr>
              <w:widowControl w:val="0"/>
              <w:spacing w:before="69" w:beforeLines="20" w:after="69" w:afterLines="20"/>
              <w:jc w:val="center"/>
              <w:rPr>
                <w:rFonts w:ascii="宋体" w:hAnsi="宋体" w:cs="宋体"/>
              </w:rPr>
            </w:pPr>
            <w:r>
              <w:rPr>
                <w:rFonts w:hint="eastAsia" w:ascii="宋体" w:hAnsi="宋体" w:cs="宋体"/>
              </w:rPr>
              <w:t>（20分）</w:t>
            </w:r>
          </w:p>
        </w:tc>
        <w:tc>
          <w:tcPr>
            <w:tcW w:w="9062" w:type="dxa"/>
            <w:vAlign w:val="center"/>
          </w:tcPr>
          <w:p>
            <w:pPr>
              <w:widowControl w:val="0"/>
              <w:spacing w:line="300" w:lineRule="exact"/>
              <w:jc w:val="both"/>
              <w:rPr>
                <w:rFonts w:ascii="仿宋_GB2312" w:hAnsi="宋体" w:eastAsia="仿宋_GB2312" w:cs="宋体"/>
              </w:rPr>
            </w:pPr>
            <w:r>
              <w:rPr>
                <w:rFonts w:hint="eastAsia" w:ascii="仿宋_GB2312" w:hAnsi="宋体" w:eastAsia="仿宋_GB2312" w:cs="宋体"/>
              </w:rPr>
              <w:t>编制本单位年度经费预算，完成年度财务预算、决算编报工作。严格执行财务预决算制度和“一支笔”审批制度；加强财务的收支管理和审计；建立项目资金支出动态监控机制，及时把握资金的使用周转情况；改革招投标和物资设备采购办法，确保经费合理支出。</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51"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300" w:lineRule="exact"/>
              <w:jc w:val="both"/>
              <w:rPr>
                <w:rFonts w:ascii="仿宋_GB2312" w:hAnsi="宋体" w:eastAsia="仿宋_GB2312" w:cs="宋体"/>
              </w:rPr>
            </w:pPr>
            <w:r>
              <w:rPr>
                <w:rFonts w:hint="eastAsia" w:ascii="仿宋_GB2312" w:hAnsi="宋体" w:eastAsia="仿宋_GB2312" w:cs="宋体"/>
              </w:rPr>
              <w:t>每月向财政部门申请预算经费指标，做好资金统筹工作。核对各项往来款项，及时入账，保证账务核算准确，与财政局、银行账务相符。及时准确完成账户对账工作，编制银行存款余额调节表，账实相符。（如果违规，每次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79"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rPr>
            </w:pPr>
            <w:r>
              <w:rPr>
                <w:rFonts w:hint="eastAsia" w:ascii="宋体" w:hAnsi="宋体" w:cs="宋体"/>
              </w:rPr>
              <w:t>财务管理与</w:t>
            </w:r>
          </w:p>
          <w:p>
            <w:pPr>
              <w:widowControl w:val="0"/>
              <w:jc w:val="center"/>
              <w:rPr>
                <w:rFonts w:ascii="宋体" w:hAnsi="宋体" w:cs="宋体"/>
              </w:rPr>
            </w:pPr>
            <w:r>
              <w:rPr>
                <w:rFonts w:hint="eastAsia" w:ascii="宋体" w:hAnsi="宋体" w:cs="宋体"/>
              </w:rPr>
              <w:t>内部审计</w:t>
            </w:r>
          </w:p>
          <w:p>
            <w:pPr>
              <w:widowControl w:val="0"/>
              <w:spacing w:before="69" w:beforeLines="20" w:after="69" w:afterLines="20"/>
              <w:jc w:val="center"/>
              <w:rPr>
                <w:rFonts w:ascii="宋体" w:hAnsi="宋体" w:cs="宋体"/>
              </w:rPr>
            </w:pPr>
            <w:r>
              <w:rPr>
                <w:rFonts w:hint="eastAsia" w:ascii="宋体" w:hAnsi="宋体" w:cs="宋体"/>
              </w:rPr>
              <w:t>（20分）</w:t>
            </w:r>
          </w:p>
        </w:tc>
        <w:tc>
          <w:tcPr>
            <w:tcW w:w="9062" w:type="dxa"/>
            <w:vAlign w:val="center"/>
          </w:tcPr>
          <w:p>
            <w:pPr>
              <w:widowControl w:val="0"/>
              <w:spacing w:line="300" w:lineRule="exact"/>
              <w:jc w:val="both"/>
              <w:rPr>
                <w:rFonts w:ascii="仿宋_GB2312" w:hAnsi="宋体" w:eastAsia="仿宋_GB2312" w:cs="宋体"/>
              </w:rPr>
            </w:pPr>
            <w:r>
              <w:rPr>
                <w:rFonts w:hint="eastAsia" w:ascii="仿宋_GB2312" w:hAnsi="宋体" w:eastAsia="仿宋_GB2312" w:cs="宋体"/>
              </w:rPr>
              <w:t>严格报销票据审计制度；根据报销流程和会计制度，准确填制支付款通知单；编制记账凭证，财务报告信息；做好票据、凭证等的稽核管理，审核整理账务凭证、会计凭证，账簿登记、出具会计报表，完成信息上报。（每错误1次，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42"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300" w:lineRule="exact"/>
              <w:jc w:val="both"/>
              <w:rPr>
                <w:rFonts w:ascii="仿宋_GB2312" w:hAnsi="宋体" w:eastAsia="仿宋_GB2312" w:cs="宋体"/>
              </w:rPr>
            </w:pPr>
            <w:r>
              <w:rPr>
                <w:rFonts w:hint="eastAsia" w:ascii="仿宋_GB2312" w:hAnsi="宋体" w:eastAsia="仿宋_GB2312" w:cs="宋体"/>
              </w:rPr>
              <w:t>做好财务会计档案的立卷、归档、保管和移交工作，归档及时，无丢失现象。严格执行会计档案外借流程。严格保守国家秘密和商业秘密。（档案管理不规范、归档不及时、发生丢失现象，每项次扣1分）。（发生工作人员泄露秘密，每项次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91"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spacing w:before="69" w:beforeLines="20" w:after="69" w:afterLines="20"/>
              <w:jc w:val="center"/>
              <w:rPr>
                <w:rFonts w:ascii="宋体" w:hAnsi="宋体" w:cs="宋体"/>
              </w:rPr>
            </w:pPr>
            <w:r>
              <w:rPr>
                <w:rFonts w:hint="eastAsia" w:ascii="宋体" w:hAnsi="宋体" w:cs="宋体"/>
              </w:rPr>
              <w:t>资产监管与</w:t>
            </w:r>
          </w:p>
          <w:p>
            <w:pPr>
              <w:widowControl w:val="0"/>
              <w:spacing w:before="69" w:beforeLines="20" w:after="69" w:afterLines="20"/>
              <w:jc w:val="center"/>
              <w:rPr>
                <w:rFonts w:ascii="宋体" w:hAnsi="宋体" w:cs="宋体"/>
              </w:rPr>
            </w:pPr>
            <w:r>
              <w:rPr>
                <w:rFonts w:hint="eastAsia" w:ascii="宋体" w:hAnsi="宋体" w:cs="宋体"/>
              </w:rPr>
              <w:t>收费管理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300" w:lineRule="exact"/>
              <w:jc w:val="both"/>
              <w:rPr>
                <w:rFonts w:ascii="仿宋_GB2312" w:hAnsi="宋体" w:eastAsia="仿宋_GB2312" w:cs="宋体"/>
              </w:rPr>
            </w:pPr>
            <w:r>
              <w:rPr>
                <w:rFonts w:hint="eastAsia" w:ascii="仿宋_GB2312" w:hAnsi="宋体" w:eastAsia="仿宋_GB2312" w:cs="宋体"/>
              </w:rPr>
              <w:t>加强国资监管和财产清查，做好财务固定资产财务审签、会计核算和计提折旧，定期对固定资产清查，做到账实相符，定期对固定资产报废清理处理。（错1次扣1分）。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52"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jc w:val="center"/>
              <w:rPr>
                <w:rFonts w:ascii="宋体" w:hAnsi="宋体" w:cs="宋体"/>
              </w:rPr>
            </w:pPr>
          </w:p>
        </w:tc>
        <w:tc>
          <w:tcPr>
            <w:tcW w:w="9062" w:type="dxa"/>
            <w:vAlign w:val="center"/>
          </w:tcPr>
          <w:p>
            <w:pPr>
              <w:widowControl w:val="0"/>
              <w:spacing w:line="300" w:lineRule="exact"/>
              <w:jc w:val="both"/>
              <w:rPr>
                <w:rFonts w:ascii="仿宋_GB2312" w:hAnsi="宋体" w:eastAsia="仿宋_GB2312" w:cs="宋体"/>
              </w:rPr>
            </w:pPr>
            <w:r>
              <w:rPr>
                <w:rFonts w:hint="default" w:ascii="仿宋_GB2312" w:hAnsi="宋体" w:eastAsia="仿宋_GB2312" w:cs="宋体"/>
              </w:rPr>
              <w:t>按照非税收入管理有关法规，规范征收、资金和票据管理。全面落实教育收费公示制度。规范使用财政电子票据，及时足额上缴应上缴国库或财政专户的各项资金。</w:t>
            </w:r>
            <w:r>
              <w:rPr>
                <w:rFonts w:hint="eastAsia" w:ascii="仿宋_GB2312" w:hAnsi="宋体" w:eastAsia="仿宋_GB2312" w:cs="宋体"/>
              </w:rPr>
              <w:t>严格执行收费标准与审批程序（不按规定收费或不执行审批程序，每次扣1分）</w:t>
            </w:r>
            <w:r>
              <w:rPr>
                <w:rFonts w:hint="eastAsia" w:ascii="仿宋_GB2312" w:hAnsi="宋体" w:eastAsia="仿宋_GB2312" w:cs="宋体"/>
                <w:lang w:eastAsia="zh-CN"/>
              </w:rPr>
              <w:t>。</w:t>
            </w:r>
            <w:r>
              <w:rPr>
                <w:rFonts w:hint="eastAsia" w:ascii="仿宋_GB2312" w:hAnsi="宋体" w:eastAsia="仿宋_GB2312" w:cs="宋体"/>
              </w:rPr>
              <w:t xml:space="preserve"> </w:t>
            </w:r>
          </w:p>
        </w:tc>
        <w:tc>
          <w:tcPr>
            <w:tcW w:w="2105" w:type="dxa"/>
            <w:vMerge w:val="continue"/>
          </w:tcPr>
          <w:p>
            <w:pPr>
              <w:widowControl w:val="0"/>
              <w:spacing w:before="69" w:beforeLines="20" w:after="69" w:afterLines="20"/>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300" w:lineRule="exact"/>
              <w:jc w:val="both"/>
              <w:rPr>
                <w:rFonts w:ascii="仿宋_GB2312" w:hAnsi="宋体" w:eastAsia="仿宋_GB2312" w:cs="宋体"/>
              </w:rPr>
            </w:pPr>
            <w:r>
              <w:rPr>
                <w:rFonts w:hint="eastAsia" w:ascii="仿宋_GB2312" w:hAnsi="宋体" w:eastAsia="仿宋_GB2312" w:cs="宋体"/>
              </w:rPr>
              <w:t>积极与各部门核对收缴款信息，准确及时核对计算校企合作分成款；收费及时，完成率95%以上（每低1个百分点扣0.5分）；收费信息登记完整，各类收费建立台账管理，档案健全（不健全，每项扣1分）。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8"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财务报告</w:t>
            </w:r>
          </w:p>
          <w:p>
            <w:pPr>
              <w:widowControl w:val="0"/>
              <w:jc w:val="center"/>
              <w:rPr>
                <w:rFonts w:ascii="宋体" w:hAnsi="宋体" w:cs="宋体"/>
              </w:rPr>
            </w:pPr>
            <w:r>
              <w:rPr>
                <w:rFonts w:hint="eastAsia" w:ascii="宋体" w:hAnsi="宋体" w:cs="宋体"/>
              </w:rPr>
              <w:t>监督检查</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300" w:lineRule="exact"/>
              <w:jc w:val="both"/>
              <w:rPr>
                <w:rFonts w:hint="eastAsia" w:ascii="仿宋_GB2312" w:hAnsi="宋体" w:eastAsia="仿宋_GB2312" w:cs="宋体"/>
                <w:lang w:eastAsia="zh-CN"/>
              </w:rPr>
            </w:pPr>
            <w:r>
              <w:rPr>
                <w:rFonts w:hint="eastAsia" w:ascii="仿宋_GB2312" w:hAnsi="宋体" w:eastAsia="仿宋_GB2312" w:cs="宋体"/>
              </w:rPr>
              <w:t>编制各类会计报表，做好财务分析，向学院党政和有关部门提供会计信息（不按时编制上报或出现差错，每次扣1分）；财政、物价、税务等专项检查中，无违规问题发生。（每查出问题1次扣1分）</w:t>
            </w:r>
            <w:r>
              <w:rPr>
                <w:rFonts w:hint="eastAsia" w:ascii="仿宋_GB2312" w:hAnsi="宋体" w:eastAsia="仿宋_GB2312" w:cs="宋体"/>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2" w:hRule="atLeast"/>
          <w:jc w:val="center"/>
        </w:trPr>
        <w:tc>
          <w:tcPr>
            <w:tcW w:w="1234" w:type="dxa"/>
            <w:vMerge w:val="restart"/>
            <w:vAlign w:val="center"/>
          </w:tcPr>
          <w:p>
            <w:pPr>
              <w:widowControl w:val="0"/>
              <w:spacing w:before="69" w:beforeLines="20" w:after="69" w:afterLines="20"/>
              <w:jc w:val="center"/>
              <w:rPr>
                <w:rFonts w:hint="eastAsia" w:ascii="宋体" w:hAnsi="宋体" w:cs="宋体"/>
              </w:rPr>
            </w:pPr>
            <w:r>
              <w:rPr>
                <w:rFonts w:hint="eastAsia" w:ascii="宋体" w:hAnsi="宋体" w:cs="宋体"/>
              </w:rPr>
              <w:t>总务</w:t>
            </w:r>
          </w:p>
          <w:p>
            <w:pPr>
              <w:widowControl w:val="0"/>
              <w:spacing w:before="69" w:beforeLines="20" w:after="69" w:afterLines="20"/>
              <w:jc w:val="center"/>
              <w:rPr>
                <w:rFonts w:hint="eastAsia" w:ascii="宋体" w:hAnsi="宋体" w:cs="宋体"/>
              </w:rPr>
            </w:pPr>
            <w:r>
              <w:rPr>
                <w:rFonts w:hint="eastAsia" w:ascii="宋体" w:hAnsi="宋体" w:cs="宋体"/>
              </w:rPr>
              <w:t>基建处</w:t>
            </w:r>
          </w:p>
          <w:p>
            <w:pPr>
              <w:widowControl w:val="0"/>
              <w:spacing w:before="69" w:beforeLines="20" w:after="69" w:afterLines="20"/>
              <w:jc w:val="center"/>
              <w:rPr>
                <w:rFonts w:ascii="宋体" w:hAnsi="宋体" w:cs="宋体"/>
              </w:rPr>
            </w:pPr>
            <w:r>
              <w:rPr>
                <w:rFonts w:hint="eastAsia" w:ascii="宋体" w:hAnsi="宋体" w:cs="宋体"/>
              </w:rPr>
              <w:t>履职指标</w:t>
            </w:r>
          </w:p>
        </w:tc>
        <w:tc>
          <w:tcPr>
            <w:tcW w:w="1770" w:type="dxa"/>
            <w:vAlign w:val="center"/>
          </w:tcPr>
          <w:p>
            <w:pPr>
              <w:widowControl w:val="0"/>
              <w:jc w:val="center"/>
              <w:rPr>
                <w:rFonts w:ascii="宋体" w:hAnsi="宋体" w:cs="宋体"/>
              </w:rPr>
            </w:pPr>
            <w:r>
              <w:rPr>
                <w:rFonts w:hint="eastAsia" w:ascii="宋体" w:hAnsi="宋体" w:cs="宋体"/>
              </w:rPr>
              <w:t>物资供应管理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264" w:lineRule="auto"/>
              <w:jc w:val="both"/>
              <w:rPr>
                <w:rFonts w:ascii="仿宋_GB2312" w:eastAsia="仿宋_GB2312"/>
              </w:rPr>
            </w:pPr>
            <w:r>
              <w:rPr>
                <w:rFonts w:hint="eastAsia" w:ascii="仿宋_GB2312" w:eastAsia="仿宋_GB2312"/>
              </w:rPr>
              <w:t>及时做好全院的一般性物资供应工作，库存物帐相符，管理有序（物资出入手续不齐备、物帐不符、配发不及时或出现差错，1次扣1分）。</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both"/>
              <w:rPr>
                <w:rFonts w:ascii="仿宋_GB2312" w:eastAsia="仿宋_GB2312"/>
              </w:rPr>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79"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rPr>
            </w:pPr>
            <w:r>
              <w:rPr>
                <w:rFonts w:hint="eastAsia" w:ascii="宋体" w:hAnsi="宋体" w:cs="宋体"/>
              </w:rPr>
              <w:t>维修维护工作</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264" w:lineRule="auto"/>
              <w:jc w:val="both"/>
              <w:rPr>
                <w:rFonts w:hint="eastAsia" w:ascii="仿宋_GB2312" w:eastAsia="仿宋_GB2312"/>
                <w:lang w:eastAsia="zh-CN"/>
              </w:rPr>
            </w:pPr>
            <w:r>
              <w:rPr>
                <w:rFonts w:hint="eastAsia" w:ascii="仿宋_GB2312" w:eastAsia="仿宋_GB2312"/>
              </w:rPr>
              <w:t>做好全院办公、教学、生活等场所大型设施设备的维护维修工作，处理不及时，扣1分）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40"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264" w:lineRule="auto"/>
              <w:jc w:val="both"/>
              <w:rPr>
                <w:rFonts w:ascii="仿宋_GB2312" w:eastAsia="仿宋_GB2312"/>
              </w:rPr>
            </w:pPr>
            <w:r>
              <w:rPr>
                <w:rFonts w:hint="eastAsia" w:ascii="仿宋_GB2312" w:eastAsia="仿宋_GB2312"/>
              </w:rPr>
              <w:t>重大或有危险项目24小时内妥善处理（否则扣2分）。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98"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rPr>
            </w:pPr>
            <w:r>
              <w:rPr>
                <w:rFonts w:hint="eastAsia" w:ascii="宋体" w:hAnsi="宋体" w:cs="宋体"/>
              </w:rPr>
              <w:t>饮食与保健</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264" w:lineRule="auto"/>
              <w:jc w:val="both"/>
              <w:rPr>
                <w:rFonts w:ascii="仿宋_GB2312" w:eastAsia="仿宋_GB2312"/>
              </w:rPr>
            </w:pPr>
            <w:r>
              <w:rPr>
                <w:rFonts w:hint="eastAsia" w:ascii="仿宋_GB2312" w:eastAsia="仿宋_GB2312"/>
              </w:rPr>
              <w:t>严格执行食品采购、加工的检查制度，严把质量关，杜绝各类食物中毒事故发生（发生一起轻度食物中毒事故扣5分；重度中毒事故扣10分）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04"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264" w:lineRule="auto"/>
              <w:jc w:val="both"/>
              <w:rPr>
                <w:rFonts w:ascii="仿宋_GB2312" w:eastAsia="仿宋_GB2312"/>
              </w:rPr>
            </w:pPr>
            <w:r>
              <w:rPr>
                <w:rFonts w:hint="eastAsia" w:ascii="仿宋_GB2312" w:eastAsia="仿宋_GB2312"/>
              </w:rPr>
              <w:t>提高饭菜质量和水平，降低饭菜的成本和价格，保证学生开水供应(无措施，管理力度小，学生意见大，各扣1分）。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56"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264" w:lineRule="auto"/>
              <w:jc w:val="both"/>
              <w:rPr>
                <w:rFonts w:ascii="仿宋_GB2312" w:eastAsia="仿宋_GB2312"/>
              </w:rPr>
            </w:pPr>
            <w:r>
              <w:rPr>
                <w:rFonts w:hint="eastAsia" w:ascii="仿宋_GB2312" w:eastAsia="仿宋_GB2312"/>
              </w:rPr>
              <w:t>饮食安全保障工作落实，有预案措施，达到上级规定的要求。保障工作不落实、无预案措施，每项减0.5分；达不到上级检查规定的要求，每次减1分。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05"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264" w:lineRule="auto"/>
              <w:jc w:val="both"/>
              <w:rPr>
                <w:rFonts w:ascii="仿宋_GB2312" w:eastAsia="仿宋_GB2312"/>
              </w:rPr>
            </w:pPr>
            <w:r>
              <w:rPr>
                <w:rFonts w:hint="eastAsia" w:ascii="仿宋_GB2312" w:eastAsia="仿宋_GB2312"/>
              </w:rPr>
              <w:t>无饮食安全事故发生，每发生一次饮食安全事故本项不得分。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22"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rPr>
            </w:pPr>
            <w:r>
              <w:rPr>
                <w:rFonts w:hint="eastAsia" w:ascii="宋体" w:hAnsi="宋体" w:cs="宋体"/>
              </w:rPr>
              <w:t>物业管理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264" w:lineRule="auto"/>
              <w:jc w:val="both"/>
              <w:rPr>
                <w:rFonts w:ascii="仿宋_GB2312" w:eastAsia="仿宋_GB2312"/>
              </w:rPr>
            </w:pPr>
            <w:r>
              <w:rPr>
                <w:rFonts w:hint="eastAsia" w:ascii="仿宋_GB2312" w:eastAsia="仿宋_GB2312"/>
              </w:rPr>
              <w:t>监督物业公司做好相关的工作，联系协调物业公司与各监管部门之间关系，及时统计汇总各监管考核分数、转达投诉情况（统计不及时、转达不到位、联系不顺畅各扣1分）。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9"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264" w:lineRule="auto"/>
              <w:jc w:val="both"/>
              <w:rPr>
                <w:rFonts w:ascii="仿宋_GB2312" w:eastAsia="仿宋_GB2312"/>
              </w:rPr>
            </w:pPr>
            <w:r>
              <w:rPr>
                <w:rFonts w:hint="eastAsia" w:ascii="仿宋_GB2312" w:eastAsia="仿宋_GB2312"/>
              </w:rPr>
              <w:t>做好学院水电、卫生、绿化、维修的物业管理工作（管理不到位各扣1分）。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98"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三产管理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264" w:lineRule="auto"/>
              <w:jc w:val="both"/>
              <w:rPr>
                <w:rFonts w:hint="eastAsia" w:eastAsia="仿宋_GB2312"/>
                <w:lang w:eastAsia="zh-CN"/>
              </w:rPr>
            </w:pPr>
            <w:r>
              <w:rPr>
                <w:rFonts w:hint="eastAsia" w:ascii="仿宋_GB2312" w:eastAsia="仿宋_GB2312"/>
              </w:rPr>
              <w:t>加强校办产业的监督和管理，进一步拓宽服务领域，为师生提供更加全面优质服务， (三产服务质量差，师生意见大，各扣1分)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07" w:hRule="atLeast"/>
          <w:jc w:val="center"/>
        </w:trPr>
        <w:tc>
          <w:tcPr>
            <w:tcW w:w="1234" w:type="dxa"/>
            <w:vMerge w:val="restart"/>
            <w:vAlign w:val="center"/>
          </w:tcPr>
          <w:p>
            <w:pPr>
              <w:widowControl w:val="0"/>
              <w:spacing w:before="69" w:beforeLines="20" w:after="69" w:afterLines="20"/>
              <w:jc w:val="center"/>
            </w:pPr>
          </w:p>
          <w:p>
            <w:pPr>
              <w:pStyle w:val="2"/>
              <w:jc w:val="center"/>
            </w:pPr>
          </w:p>
          <w:p>
            <w:pPr>
              <w:widowControl w:val="0"/>
              <w:jc w:val="center"/>
              <w:rPr>
                <w:rFonts w:hint="eastAsia" w:ascii="宋体" w:hAnsi="宋体" w:cs="宋体"/>
              </w:rPr>
            </w:pPr>
            <w:r>
              <w:rPr>
                <w:rFonts w:hint="eastAsia" w:ascii="宋体" w:hAnsi="宋体" w:cs="宋体"/>
              </w:rPr>
              <w:t>安全</w:t>
            </w:r>
          </w:p>
          <w:p>
            <w:pPr>
              <w:widowControl w:val="0"/>
              <w:jc w:val="center"/>
              <w:rPr>
                <w:rFonts w:hint="eastAsia" w:ascii="宋体" w:hAnsi="宋体" w:cs="宋体"/>
              </w:rPr>
            </w:pPr>
            <w:r>
              <w:rPr>
                <w:rFonts w:hint="eastAsia" w:ascii="宋体" w:hAnsi="宋体" w:cs="宋体"/>
              </w:rPr>
              <w:t>保卫处</w:t>
            </w:r>
          </w:p>
          <w:p>
            <w:pPr>
              <w:widowControl w:val="0"/>
              <w:jc w:val="center"/>
            </w:pPr>
            <w:r>
              <w:rPr>
                <w:rFonts w:hint="eastAsia" w:ascii="宋体" w:hAnsi="宋体" w:cs="宋体"/>
              </w:rPr>
              <w:t>履职指标</w:t>
            </w:r>
          </w:p>
        </w:tc>
        <w:tc>
          <w:tcPr>
            <w:tcW w:w="1770" w:type="dxa"/>
            <w:vMerge w:val="restart"/>
            <w:vAlign w:val="center"/>
          </w:tcPr>
          <w:p>
            <w:pPr>
              <w:widowControl w:val="0"/>
              <w:jc w:val="center"/>
            </w:pPr>
            <w:r>
              <w:rPr>
                <w:rFonts w:hint="eastAsia"/>
              </w:rPr>
              <w:t>安全机制</w:t>
            </w:r>
          </w:p>
          <w:p>
            <w:pPr>
              <w:pStyle w:val="2"/>
              <w:jc w:val="center"/>
            </w:pPr>
            <w:r>
              <w:rPr>
                <w:rFonts w:hint="eastAsia" w:ascii="宋体" w:hAnsi="宋体" w:cs="宋体"/>
              </w:rPr>
              <w:t>（20分）</w:t>
            </w:r>
          </w:p>
        </w:tc>
        <w:tc>
          <w:tcPr>
            <w:tcW w:w="9062" w:type="dxa"/>
            <w:vAlign w:val="center"/>
          </w:tcPr>
          <w:p>
            <w:pPr>
              <w:widowControl w:val="0"/>
              <w:jc w:val="both"/>
              <w:rPr>
                <w:rFonts w:hint="eastAsia" w:ascii="仿宋_GB2312" w:eastAsia="仿宋_GB2312"/>
                <w:lang w:eastAsia="zh-CN"/>
              </w:rPr>
            </w:pPr>
            <w:r>
              <w:rPr>
                <w:rFonts w:hint="eastAsia" w:ascii="仿宋_GB2312" w:eastAsia="仿宋_GB2312"/>
              </w:rPr>
              <w:t>认真完善、落实综治、消防、平安和谐校园创建责任制和工作方案(未建立责任制或无工作方案扣2分)</w:t>
            </w:r>
            <w:r>
              <w:rPr>
                <w:rFonts w:hint="eastAsia" w:ascii="仿宋_GB2312" w:eastAsia="仿宋_GB2312"/>
                <w:lang w:eastAsia="zh-CN"/>
              </w:rPr>
              <w:t>。</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both"/>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90"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continue"/>
            <w:vAlign w:val="center"/>
          </w:tcPr>
          <w:p>
            <w:pPr>
              <w:widowControl w:val="0"/>
              <w:jc w:val="center"/>
              <w:rPr>
                <w:rFonts w:ascii="宋体" w:hAnsi="宋体" w:cs="宋体"/>
              </w:rPr>
            </w:pPr>
          </w:p>
        </w:tc>
        <w:tc>
          <w:tcPr>
            <w:tcW w:w="9062" w:type="dxa"/>
            <w:vAlign w:val="center"/>
          </w:tcPr>
          <w:p>
            <w:pPr>
              <w:widowControl w:val="0"/>
              <w:jc w:val="both"/>
              <w:rPr>
                <w:rFonts w:hint="eastAsia" w:ascii="仿宋_GB2312" w:eastAsia="仿宋_GB2312"/>
                <w:lang w:eastAsia="zh-CN"/>
              </w:rPr>
            </w:pPr>
            <w:r>
              <w:rPr>
                <w:rFonts w:hint="eastAsia" w:ascii="仿宋_GB2312" w:eastAsia="仿宋_GB2312"/>
              </w:rPr>
              <w:t>落实工作责任制和责任追究制，建立健全群防群治队伍，认真落实各项人防、物防、技防措施，有处理突发事件的应急预案(诸项不落实或不健全，1项扣1分)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3" w:hRule="atLeast"/>
          <w:jc w:val="center"/>
        </w:trPr>
        <w:tc>
          <w:tcPr>
            <w:tcW w:w="1234" w:type="dxa"/>
            <w:vMerge w:val="continue"/>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pPr>
            <w:r>
              <w:rPr>
                <w:rFonts w:hint="eastAsia"/>
              </w:rPr>
              <w:t>综合治理</w:t>
            </w:r>
          </w:p>
          <w:p>
            <w:pPr>
              <w:pStyle w:val="2"/>
              <w:jc w:val="center"/>
            </w:pPr>
            <w:r>
              <w:rPr>
                <w:rFonts w:hint="eastAsia" w:ascii="宋体" w:hAnsi="宋体" w:cs="宋体"/>
              </w:rPr>
              <w:t>（20分）</w:t>
            </w:r>
          </w:p>
        </w:tc>
        <w:tc>
          <w:tcPr>
            <w:tcW w:w="9062" w:type="dxa"/>
            <w:vAlign w:val="center"/>
          </w:tcPr>
          <w:p>
            <w:pPr>
              <w:widowControl w:val="0"/>
              <w:jc w:val="both"/>
              <w:rPr>
                <w:rFonts w:hint="eastAsia" w:ascii="仿宋_GB2312" w:eastAsia="仿宋_GB2312"/>
                <w:lang w:eastAsia="zh-CN"/>
              </w:rPr>
            </w:pPr>
            <w:r>
              <w:rPr>
                <w:rFonts w:hint="eastAsia" w:ascii="仿宋_GB2312" w:eastAsia="仿宋_GB2312"/>
              </w:rPr>
              <w:t>加强校园及其周边治安环境的综合治理(无措施扣1分)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03" w:hRule="atLeast"/>
          <w:jc w:val="center"/>
        </w:trPr>
        <w:tc>
          <w:tcPr>
            <w:tcW w:w="1234" w:type="dxa"/>
            <w:vMerge w:val="continue"/>
          </w:tcPr>
          <w:p>
            <w:pPr>
              <w:widowControl w:val="0"/>
              <w:jc w:val="both"/>
            </w:pPr>
          </w:p>
        </w:tc>
        <w:tc>
          <w:tcPr>
            <w:tcW w:w="1770" w:type="dxa"/>
            <w:vMerge w:val="continue"/>
            <w:vAlign w:val="center"/>
          </w:tcPr>
          <w:p>
            <w:pPr>
              <w:widowControl w:val="0"/>
              <w:jc w:val="center"/>
              <w:rPr>
                <w:rFonts w:ascii="宋体" w:hAnsi="宋体" w:cs="宋体"/>
              </w:rPr>
            </w:pPr>
          </w:p>
        </w:tc>
        <w:tc>
          <w:tcPr>
            <w:tcW w:w="9062" w:type="dxa"/>
            <w:vAlign w:val="center"/>
          </w:tcPr>
          <w:p>
            <w:pPr>
              <w:widowControl w:val="0"/>
              <w:jc w:val="both"/>
              <w:rPr>
                <w:rFonts w:hint="eastAsia" w:ascii="仿宋_GB2312" w:eastAsia="仿宋_GB2312"/>
                <w:lang w:eastAsia="zh-CN"/>
              </w:rPr>
            </w:pPr>
            <w:r>
              <w:rPr>
                <w:rFonts w:hint="eastAsia" w:ascii="仿宋_GB2312" w:eastAsia="仿宋_GB2312"/>
              </w:rPr>
              <w:t>做好防火、防盗、防破坏、防窃密等治安防范工作，责任落实，检查及时，督促整改重大隐患(责任不落实或检查不及时扣1分)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3" w:hRule="atLeast"/>
          <w:jc w:val="center"/>
        </w:trPr>
        <w:tc>
          <w:tcPr>
            <w:tcW w:w="1234" w:type="dxa"/>
            <w:vMerge w:val="continue"/>
          </w:tcPr>
          <w:p>
            <w:pPr>
              <w:widowControl w:val="0"/>
              <w:jc w:val="both"/>
            </w:pPr>
          </w:p>
        </w:tc>
        <w:tc>
          <w:tcPr>
            <w:tcW w:w="1770" w:type="dxa"/>
            <w:vMerge w:val="restart"/>
            <w:vAlign w:val="center"/>
          </w:tcPr>
          <w:p>
            <w:pPr>
              <w:widowControl w:val="0"/>
              <w:jc w:val="center"/>
            </w:pPr>
            <w:r>
              <w:rPr>
                <w:rFonts w:hint="eastAsia"/>
              </w:rPr>
              <w:t>治安保卫</w:t>
            </w:r>
          </w:p>
          <w:p>
            <w:pPr>
              <w:pStyle w:val="2"/>
              <w:jc w:val="center"/>
            </w:pPr>
            <w:r>
              <w:rPr>
                <w:rFonts w:hint="eastAsia" w:ascii="宋体" w:hAnsi="宋体" w:cs="宋体"/>
              </w:rPr>
              <w:t>（20分）</w:t>
            </w:r>
          </w:p>
        </w:tc>
        <w:tc>
          <w:tcPr>
            <w:tcW w:w="9062" w:type="dxa"/>
            <w:vAlign w:val="center"/>
          </w:tcPr>
          <w:p>
            <w:pPr>
              <w:widowControl w:val="0"/>
              <w:jc w:val="both"/>
              <w:rPr>
                <w:rFonts w:hint="eastAsia" w:ascii="仿宋_GB2312" w:eastAsia="仿宋_GB2312"/>
                <w:lang w:eastAsia="zh-CN"/>
              </w:rPr>
            </w:pPr>
            <w:r>
              <w:rPr>
                <w:rFonts w:hint="eastAsia" w:ascii="仿宋_GB2312" w:eastAsia="仿宋_GB2312"/>
              </w:rPr>
              <w:t>加强对物业公司的监管与考核，以使做好校门出入管理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28" w:hRule="atLeast"/>
          <w:jc w:val="center"/>
        </w:trPr>
        <w:tc>
          <w:tcPr>
            <w:tcW w:w="1234" w:type="dxa"/>
            <w:vMerge w:val="continue"/>
          </w:tcPr>
          <w:p>
            <w:pPr>
              <w:widowControl w:val="0"/>
              <w:jc w:val="both"/>
            </w:pPr>
          </w:p>
        </w:tc>
        <w:tc>
          <w:tcPr>
            <w:tcW w:w="1770" w:type="dxa"/>
            <w:vMerge w:val="continue"/>
            <w:vAlign w:val="center"/>
          </w:tcPr>
          <w:p>
            <w:pPr>
              <w:widowControl w:val="0"/>
              <w:jc w:val="center"/>
              <w:rPr>
                <w:rFonts w:ascii="宋体" w:hAnsi="宋体" w:cs="宋体"/>
              </w:rPr>
            </w:pPr>
          </w:p>
        </w:tc>
        <w:tc>
          <w:tcPr>
            <w:tcW w:w="9062" w:type="dxa"/>
            <w:vAlign w:val="center"/>
          </w:tcPr>
          <w:p>
            <w:pPr>
              <w:widowControl w:val="0"/>
              <w:jc w:val="both"/>
              <w:rPr>
                <w:rFonts w:hint="eastAsia" w:ascii="仿宋_GB2312" w:eastAsia="仿宋_GB2312"/>
                <w:lang w:eastAsia="zh-CN"/>
              </w:rPr>
            </w:pPr>
            <w:r>
              <w:rPr>
                <w:rFonts w:hint="eastAsia" w:ascii="仿宋_GB2312" w:eastAsia="仿宋_GB2312"/>
              </w:rPr>
              <w:t>加强院内安全巡查和监控设备的利用，保护学院师生的人身财产安全</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52" w:hRule="atLeast"/>
          <w:jc w:val="center"/>
        </w:trPr>
        <w:tc>
          <w:tcPr>
            <w:tcW w:w="1234" w:type="dxa"/>
            <w:vMerge w:val="continue"/>
          </w:tcPr>
          <w:p>
            <w:pPr>
              <w:widowControl w:val="0"/>
              <w:jc w:val="both"/>
            </w:pPr>
          </w:p>
        </w:tc>
        <w:tc>
          <w:tcPr>
            <w:tcW w:w="1770" w:type="dxa"/>
            <w:vMerge w:val="continue"/>
            <w:vAlign w:val="center"/>
          </w:tcPr>
          <w:p>
            <w:pPr>
              <w:widowControl w:val="0"/>
              <w:jc w:val="center"/>
              <w:rPr>
                <w:rFonts w:ascii="宋体" w:hAnsi="宋体" w:cs="宋体"/>
              </w:rPr>
            </w:pPr>
          </w:p>
        </w:tc>
        <w:tc>
          <w:tcPr>
            <w:tcW w:w="9062" w:type="dxa"/>
            <w:vAlign w:val="center"/>
          </w:tcPr>
          <w:p>
            <w:pPr>
              <w:widowControl w:val="0"/>
              <w:jc w:val="both"/>
              <w:rPr>
                <w:rFonts w:ascii="仿宋_GB2312" w:eastAsia="仿宋_GB2312"/>
              </w:rPr>
            </w:pPr>
            <w:r>
              <w:rPr>
                <w:rFonts w:hint="eastAsia" w:ascii="仿宋_GB2312" w:eastAsia="仿宋_GB2312"/>
              </w:rPr>
              <w:t>及时有效地调处校园内的各种纠纷，及时制止校园违法犯罪活动，对重大问题及时上报。</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8" w:hRule="atLeast"/>
          <w:jc w:val="center"/>
        </w:trPr>
        <w:tc>
          <w:tcPr>
            <w:tcW w:w="1234" w:type="dxa"/>
            <w:vMerge w:val="continue"/>
          </w:tcPr>
          <w:p>
            <w:pPr>
              <w:widowControl w:val="0"/>
              <w:jc w:val="both"/>
            </w:pPr>
          </w:p>
        </w:tc>
        <w:tc>
          <w:tcPr>
            <w:tcW w:w="1770" w:type="dxa"/>
            <w:vMerge w:val="restart"/>
            <w:vAlign w:val="center"/>
          </w:tcPr>
          <w:p>
            <w:pPr>
              <w:widowControl w:val="0"/>
              <w:jc w:val="center"/>
            </w:pPr>
            <w:r>
              <w:rPr>
                <w:rFonts w:hint="eastAsia"/>
              </w:rPr>
              <w:t>消防管理</w:t>
            </w:r>
          </w:p>
          <w:p>
            <w:pPr>
              <w:pStyle w:val="2"/>
              <w:jc w:val="center"/>
            </w:pPr>
            <w:r>
              <w:rPr>
                <w:rFonts w:hint="eastAsia" w:ascii="宋体" w:hAnsi="宋体" w:cs="宋体"/>
              </w:rPr>
              <w:t>（20分）</w:t>
            </w:r>
          </w:p>
        </w:tc>
        <w:tc>
          <w:tcPr>
            <w:tcW w:w="9062" w:type="dxa"/>
            <w:vAlign w:val="center"/>
          </w:tcPr>
          <w:p>
            <w:pPr>
              <w:widowControl w:val="0"/>
              <w:jc w:val="both"/>
              <w:rPr>
                <w:rFonts w:hint="eastAsia" w:ascii="仿宋_GB2312" w:eastAsia="仿宋_GB2312"/>
                <w:lang w:eastAsia="zh-CN"/>
              </w:rPr>
            </w:pPr>
            <w:r>
              <w:rPr>
                <w:rFonts w:hint="eastAsia" w:ascii="仿宋_GB2312" w:eastAsia="仿宋_GB2312"/>
              </w:rPr>
              <w:t>健全消防队伍，有专（兼）职消防员(队伍不健全扣1分)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 w:hRule="atLeast"/>
          <w:jc w:val="center"/>
        </w:trPr>
        <w:tc>
          <w:tcPr>
            <w:tcW w:w="1234" w:type="dxa"/>
            <w:vMerge w:val="continue"/>
          </w:tcPr>
          <w:p>
            <w:pPr>
              <w:widowControl w:val="0"/>
              <w:jc w:val="both"/>
            </w:pPr>
          </w:p>
        </w:tc>
        <w:tc>
          <w:tcPr>
            <w:tcW w:w="1770" w:type="dxa"/>
            <w:vMerge w:val="continue"/>
            <w:vAlign w:val="center"/>
          </w:tcPr>
          <w:p>
            <w:pPr>
              <w:widowControl w:val="0"/>
              <w:jc w:val="center"/>
              <w:rPr>
                <w:rFonts w:ascii="宋体" w:hAnsi="宋体" w:cs="宋体"/>
              </w:rPr>
            </w:pPr>
          </w:p>
        </w:tc>
        <w:tc>
          <w:tcPr>
            <w:tcW w:w="9062" w:type="dxa"/>
            <w:vAlign w:val="center"/>
          </w:tcPr>
          <w:p>
            <w:pPr>
              <w:widowControl w:val="0"/>
              <w:jc w:val="both"/>
              <w:rPr>
                <w:rFonts w:hint="eastAsia" w:ascii="仿宋_GB2312" w:eastAsia="仿宋_GB2312"/>
                <w:lang w:eastAsia="zh-CN"/>
              </w:rPr>
            </w:pPr>
            <w:r>
              <w:rPr>
                <w:rFonts w:hint="eastAsia" w:ascii="仿宋_GB2312" w:eastAsia="仿宋_GB2312"/>
              </w:rPr>
              <w:t>消防器材配备齐全，(缺1项扣1分)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17" w:hRule="atLeast"/>
          <w:jc w:val="center"/>
        </w:trPr>
        <w:tc>
          <w:tcPr>
            <w:tcW w:w="1234" w:type="dxa"/>
            <w:vMerge w:val="continue"/>
          </w:tcPr>
          <w:p>
            <w:pPr>
              <w:widowControl w:val="0"/>
              <w:jc w:val="both"/>
            </w:pPr>
          </w:p>
        </w:tc>
        <w:tc>
          <w:tcPr>
            <w:tcW w:w="1770" w:type="dxa"/>
            <w:vMerge w:val="continue"/>
            <w:vAlign w:val="center"/>
          </w:tcPr>
          <w:p>
            <w:pPr>
              <w:widowControl w:val="0"/>
              <w:jc w:val="center"/>
              <w:rPr>
                <w:rFonts w:ascii="宋体" w:hAnsi="宋体" w:cs="宋体"/>
              </w:rPr>
            </w:pPr>
          </w:p>
        </w:tc>
        <w:tc>
          <w:tcPr>
            <w:tcW w:w="9062" w:type="dxa"/>
            <w:vAlign w:val="center"/>
          </w:tcPr>
          <w:p>
            <w:pPr>
              <w:widowControl w:val="0"/>
              <w:jc w:val="both"/>
              <w:rPr>
                <w:rFonts w:ascii="仿宋_GB2312" w:eastAsia="仿宋_GB2312"/>
              </w:rPr>
            </w:pPr>
            <w:r>
              <w:rPr>
                <w:rFonts w:hint="eastAsia" w:ascii="仿宋_GB2312" w:eastAsia="仿宋_GB2312"/>
              </w:rPr>
              <w:t>每月检查消防设施1次并有检查报告和整改措施(少1次扣0.5分，无检查记录或报告和整改措施，每项次扣0.5分)。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66" w:hRule="atLeast"/>
          <w:jc w:val="center"/>
        </w:trPr>
        <w:tc>
          <w:tcPr>
            <w:tcW w:w="1234" w:type="dxa"/>
            <w:vMerge w:val="continue"/>
          </w:tcPr>
          <w:p>
            <w:pPr>
              <w:widowControl w:val="0"/>
              <w:jc w:val="both"/>
            </w:pPr>
          </w:p>
        </w:tc>
        <w:tc>
          <w:tcPr>
            <w:tcW w:w="1770" w:type="dxa"/>
            <w:vAlign w:val="center"/>
          </w:tcPr>
          <w:p>
            <w:pPr>
              <w:widowControl w:val="0"/>
              <w:jc w:val="center"/>
            </w:pPr>
            <w:r>
              <w:rPr>
                <w:rFonts w:hint="eastAsia"/>
              </w:rPr>
              <w:t>安全</w:t>
            </w:r>
            <w:r>
              <w:t>教育</w:t>
            </w:r>
          </w:p>
          <w:p>
            <w:pPr>
              <w:pStyle w:val="2"/>
              <w:jc w:val="center"/>
            </w:pPr>
            <w:r>
              <w:rPr>
                <w:rFonts w:hint="eastAsia" w:ascii="宋体" w:hAnsi="宋体" w:cs="宋体"/>
              </w:rPr>
              <w:t>（20分）</w:t>
            </w:r>
          </w:p>
        </w:tc>
        <w:tc>
          <w:tcPr>
            <w:tcW w:w="9062" w:type="dxa"/>
            <w:vAlign w:val="center"/>
          </w:tcPr>
          <w:p>
            <w:pPr>
              <w:widowControl w:val="0"/>
              <w:jc w:val="both"/>
              <w:rPr>
                <w:rFonts w:ascii="仿宋_GB2312" w:eastAsia="仿宋_GB2312"/>
              </w:rPr>
            </w:pPr>
          </w:p>
          <w:p>
            <w:pPr>
              <w:widowControl w:val="0"/>
              <w:jc w:val="both"/>
              <w:rPr>
                <w:rFonts w:ascii="仿宋_GB2312" w:eastAsia="仿宋_GB2312"/>
              </w:rPr>
            </w:pPr>
            <w:r>
              <w:rPr>
                <w:rFonts w:hint="eastAsia" w:ascii="仿宋_GB2312" w:eastAsia="仿宋_GB2312"/>
              </w:rPr>
              <w:t>加强师生安全教育，治安、消防、法制宣传教育每年至少2次(少1次扣1分)。</w:t>
            </w:r>
          </w:p>
          <w:p>
            <w:pPr>
              <w:widowControl w:val="0"/>
              <w:jc w:val="both"/>
              <w:rPr>
                <w:rFonts w:ascii="仿宋_GB2312" w:eastAsia="仿宋_GB2312"/>
              </w:rPr>
            </w:pP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23" w:hRule="atLeast"/>
          <w:jc w:val="center"/>
        </w:trPr>
        <w:tc>
          <w:tcPr>
            <w:tcW w:w="1234" w:type="dxa"/>
            <w:vMerge w:val="restart"/>
            <w:vAlign w:val="center"/>
          </w:tcPr>
          <w:p>
            <w:pPr>
              <w:widowControl w:val="0"/>
              <w:spacing w:before="69" w:beforeLines="20" w:after="69" w:afterLines="20"/>
              <w:jc w:val="center"/>
              <w:rPr>
                <w:rFonts w:hint="eastAsia" w:ascii="宋体" w:hAnsi="宋体" w:cs="宋体"/>
              </w:rPr>
            </w:pPr>
            <w:r>
              <w:rPr>
                <w:rFonts w:hint="eastAsia" w:ascii="宋体" w:hAnsi="宋体" w:cs="宋体"/>
              </w:rPr>
              <w:t>实验</w:t>
            </w:r>
          </w:p>
          <w:p>
            <w:pPr>
              <w:widowControl w:val="0"/>
              <w:spacing w:before="69" w:beforeLines="20" w:after="69" w:afterLines="20"/>
              <w:jc w:val="center"/>
              <w:rPr>
                <w:rFonts w:ascii="宋体" w:hAnsi="宋体" w:cs="宋体"/>
              </w:rPr>
            </w:pPr>
            <w:r>
              <w:rPr>
                <w:rFonts w:hint="eastAsia" w:ascii="宋体" w:hAnsi="宋体" w:cs="宋体"/>
              </w:rPr>
              <w:t>实训中心履职指标</w:t>
            </w:r>
          </w:p>
          <w:p>
            <w:pPr>
              <w:widowControl w:val="0"/>
              <w:spacing w:before="69" w:beforeLines="20" w:after="69" w:afterLines="20"/>
              <w:jc w:val="left"/>
              <w:rPr>
                <w:rFonts w:ascii="宋体" w:hAnsi="宋体" w:cs="宋体"/>
              </w:rPr>
            </w:pPr>
          </w:p>
        </w:tc>
        <w:tc>
          <w:tcPr>
            <w:tcW w:w="1770" w:type="dxa"/>
            <w:vMerge w:val="restart"/>
            <w:vAlign w:val="center"/>
          </w:tcPr>
          <w:p>
            <w:pPr>
              <w:widowControl w:val="0"/>
              <w:jc w:val="center"/>
              <w:rPr>
                <w:rFonts w:ascii="宋体" w:hAnsi="宋体" w:cs="宋体"/>
                <w:kern w:val="2"/>
              </w:rPr>
            </w:pPr>
            <w:r>
              <w:rPr>
                <w:rFonts w:hint="eastAsia" w:ascii="宋体" w:hAnsi="宋体" w:cs="宋体"/>
                <w:kern w:val="2"/>
              </w:rPr>
              <w:t>实训设备管理</w:t>
            </w:r>
            <w:r>
              <w:rPr>
                <w:rFonts w:hint="eastAsia" w:ascii="宋体" w:hAnsi="宋体" w:cs="宋体"/>
              </w:rPr>
              <w:t>（20分）</w:t>
            </w:r>
          </w:p>
        </w:tc>
        <w:tc>
          <w:tcPr>
            <w:tcW w:w="9062" w:type="dxa"/>
            <w:vAlign w:val="center"/>
          </w:tcPr>
          <w:p>
            <w:pPr>
              <w:widowControl w:val="0"/>
              <w:jc w:val="both"/>
              <w:rPr>
                <w:rFonts w:hint="eastAsia" w:ascii="仿宋_GB2312" w:eastAsia="仿宋_GB2312"/>
                <w:kern w:val="2"/>
                <w:lang w:eastAsia="zh-CN"/>
              </w:rPr>
            </w:pPr>
            <w:r>
              <w:rPr>
                <w:rFonts w:hint="eastAsia" w:ascii="仿宋_GB2312" w:eastAsia="仿宋_GB2312"/>
                <w:kern w:val="2"/>
              </w:rPr>
              <w:t>做好学院现有实验实训仪器设备的清理整顿工作，做到建帐立卡，有设备统计表(无账册或统计表扣2分，不完整扣1分)</w:t>
            </w:r>
            <w:r>
              <w:rPr>
                <w:rFonts w:hint="eastAsia" w:ascii="仿宋_GB2312" w:eastAsia="仿宋_GB2312"/>
                <w:kern w:val="2"/>
                <w:lang w:eastAsia="zh-CN"/>
              </w:rPr>
              <w:t>。</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left"/>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23"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numPr>
                <w:ilvl w:val="0"/>
                <w:numId w:val="1"/>
              </w:numPr>
              <w:spacing w:before="69" w:beforeLines="20" w:after="69" w:afterLines="20"/>
              <w:ind w:left="33"/>
              <w:jc w:val="center"/>
              <w:rPr>
                <w:rFonts w:ascii="宋体" w:hAnsi="宋体" w:cs="宋体"/>
              </w:rPr>
            </w:pPr>
          </w:p>
        </w:tc>
        <w:tc>
          <w:tcPr>
            <w:tcW w:w="9062" w:type="dxa"/>
            <w:vAlign w:val="center"/>
          </w:tcPr>
          <w:p>
            <w:pPr>
              <w:widowControl w:val="0"/>
              <w:jc w:val="both"/>
              <w:rPr>
                <w:rFonts w:ascii="仿宋_GB2312" w:eastAsia="仿宋_GB2312"/>
                <w:kern w:val="2"/>
              </w:rPr>
            </w:pPr>
            <w:r>
              <w:rPr>
                <w:rFonts w:hint="eastAsia" w:ascii="仿宋_GB2312" w:eastAsia="仿宋_GB2312"/>
                <w:kern w:val="2"/>
              </w:rPr>
              <w:t>结合专业建设和规划情况，做好仪器设备、材料的引进采购计划，进行实验实训中心建设的布局规划(无规划、学年计划，各扣1分)。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23"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kern w:val="2"/>
              </w:rPr>
            </w:pPr>
            <w:r>
              <w:rPr>
                <w:rFonts w:hint="eastAsia" w:ascii="宋体" w:hAnsi="宋体" w:cs="宋体"/>
                <w:kern w:val="2"/>
              </w:rPr>
              <w:t>实训基地建设</w:t>
            </w:r>
          </w:p>
          <w:p>
            <w:pPr>
              <w:widowControl w:val="0"/>
              <w:jc w:val="center"/>
              <w:rPr>
                <w:rFonts w:ascii="宋体" w:hAnsi="宋体" w:cs="宋体"/>
                <w:kern w:val="2"/>
              </w:rPr>
            </w:pPr>
            <w:r>
              <w:rPr>
                <w:rFonts w:hint="eastAsia" w:ascii="宋体" w:hAnsi="宋体" w:cs="宋体"/>
              </w:rPr>
              <w:t>（20分）</w:t>
            </w:r>
          </w:p>
        </w:tc>
        <w:tc>
          <w:tcPr>
            <w:tcW w:w="9062" w:type="dxa"/>
            <w:vAlign w:val="center"/>
          </w:tcPr>
          <w:p>
            <w:pPr>
              <w:widowControl w:val="0"/>
              <w:jc w:val="both"/>
              <w:rPr>
                <w:rFonts w:hint="eastAsia" w:ascii="仿宋_GB2312" w:eastAsia="仿宋_GB2312"/>
                <w:kern w:val="2"/>
                <w:lang w:eastAsia="zh-CN"/>
              </w:rPr>
            </w:pPr>
            <w:r>
              <w:rPr>
                <w:rFonts w:hint="eastAsia" w:ascii="仿宋_GB2312" w:eastAsia="仿宋_GB2312"/>
                <w:kern w:val="2"/>
              </w:rPr>
              <w:t>结合专业特点和实际需求，以仿真环境为目标，以教学做一体化教室和生产性实训基地为重点，提高实验实训室的开放度和设备利用率(利用率低，有较大反映，扣1分)</w:t>
            </w:r>
            <w:r>
              <w:rPr>
                <w:rFonts w:hint="eastAsia" w:ascii="仿宋_GB2312" w:eastAsia="仿宋_GB2312"/>
                <w:kern w:val="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jc w:val="both"/>
              <w:rPr>
                <w:rFonts w:hint="eastAsia" w:ascii="仿宋_GB2312" w:eastAsia="仿宋_GB2312"/>
                <w:kern w:val="2"/>
                <w:lang w:eastAsia="zh-CN"/>
              </w:rPr>
            </w:pPr>
            <w:r>
              <w:rPr>
                <w:rFonts w:hint="eastAsia" w:ascii="仿宋_GB2312" w:eastAsia="仿宋_GB2312"/>
                <w:kern w:val="2"/>
              </w:rPr>
              <w:t>认真做好实验实训室的安全工作，安全措施上墙，切实保障人身和财产安全（出现安全责任事故1次扣5分）</w:t>
            </w:r>
            <w:r>
              <w:rPr>
                <w:rFonts w:hint="eastAsia" w:ascii="仿宋_GB2312" w:eastAsia="仿宋_GB2312"/>
                <w:kern w:val="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rPr>
            </w:pPr>
            <w:r>
              <w:rPr>
                <w:rFonts w:hint="eastAsia" w:ascii="宋体" w:hAnsi="宋体" w:cs="宋体"/>
                <w:kern w:val="2"/>
              </w:rPr>
              <w:t>实践教学管理</w:t>
            </w:r>
            <w:r>
              <w:rPr>
                <w:rFonts w:hint="eastAsia" w:ascii="宋体" w:hAnsi="宋体" w:cs="宋体"/>
              </w:rPr>
              <w:t>（20分）</w:t>
            </w:r>
          </w:p>
        </w:tc>
        <w:tc>
          <w:tcPr>
            <w:tcW w:w="9062" w:type="dxa"/>
            <w:vAlign w:val="center"/>
          </w:tcPr>
          <w:p>
            <w:pPr>
              <w:widowControl w:val="0"/>
              <w:jc w:val="both"/>
              <w:rPr>
                <w:rFonts w:hint="eastAsia" w:ascii="仿宋_GB2312" w:eastAsia="仿宋_GB2312"/>
                <w:kern w:val="2"/>
                <w:lang w:eastAsia="zh-CN"/>
              </w:rPr>
            </w:pPr>
            <w:r>
              <w:rPr>
                <w:rFonts w:hint="eastAsia" w:ascii="仿宋_GB2312" w:eastAsia="仿宋_GB2312"/>
                <w:kern w:val="2"/>
              </w:rPr>
              <w:t>做好全院实践性教学的统筹协调管理，加强同系部的联系，确保各专业学生实践性教学的顺畅开展，把实践教学作为专业教学的重要核心环节，开足开够实践学时(每缺1项扣1分)</w:t>
            </w:r>
            <w:r>
              <w:rPr>
                <w:rFonts w:hint="eastAsia" w:ascii="仿宋_GB2312" w:eastAsia="仿宋_GB2312"/>
                <w:kern w:val="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jc w:val="both"/>
              <w:rPr>
                <w:rFonts w:hint="eastAsia" w:ascii="仿宋_GB2312" w:eastAsia="仿宋_GB2312"/>
                <w:kern w:val="2"/>
                <w:lang w:eastAsia="zh-CN"/>
              </w:rPr>
            </w:pPr>
            <w:r>
              <w:rPr>
                <w:rFonts w:hint="eastAsia" w:ascii="仿宋_GB2312" w:eastAsia="仿宋_GB2312"/>
                <w:kern w:val="2"/>
              </w:rPr>
              <w:t>做好实践性教学中教师教学质量、学生学习质量的全程管理，建立实践性教学评估体系并组织实施(无评估体系扣1分，学期内无检查扣1分)</w:t>
            </w:r>
            <w:r>
              <w:rPr>
                <w:rFonts w:hint="eastAsia" w:ascii="仿宋_GB2312" w:eastAsia="仿宋_GB2312"/>
                <w:kern w:val="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jc w:val="both"/>
              <w:rPr>
                <w:rFonts w:hint="eastAsia" w:ascii="仿宋_GB2312" w:eastAsia="仿宋_GB2312"/>
                <w:kern w:val="2"/>
                <w:lang w:eastAsia="zh-CN"/>
              </w:rPr>
            </w:pPr>
            <w:r>
              <w:rPr>
                <w:rFonts w:hint="eastAsia" w:ascii="仿宋_GB2312" w:eastAsia="仿宋_GB2312"/>
                <w:kern w:val="2"/>
              </w:rPr>
              <w:t>强化实习工作的管理、指导工作；做好各系部实习单位考察评估报告、实习协议、实习巡查统计表等实习工作过程材料的收集、备案、统计工作。吸引行业企业部门参与实践教学大纲、实践指导书编写(无行动扣1分)</w:t>
            </w:r>
            <w:r>
              <w:rPr>
                <w:rFonts w:hint="eastAsia" w:ascii="仿宋_GB2312" w:eastAsia="仿宋_GB2312"/>
                <w:kern w:val="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77"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kern w:val="2"/>
              </w:rPr>
            </w:pPr>
            <w:r>
              <w:rPr>
                <w:rFonts w:hint="eastAsia" w:ascii="宋体" w:hAnsi="宋体" w:cs="宋体"/>
                <w:kern w:val="2"/>
              </w:rPr>
              <w:t>技能大赛</w:t>
            </w:r>
          </w:p>
          <w:p>
            <w:pPr>
              <w:widowControl w:val="0"/>
              <w:jc w:val="center"/>
              <w:rPr>
                <w:rFonts w:ascii="宋体" w:hAnsi="宋体" w:cs="宋体"/>
                <w:kern w:val="2"/>
              </w:rPr>
            </w:pPr>
            <w:r>
              <w:rPr>
                <w:rFonts w:hint="eastAsia" w:ascii="宋体" w:hAnsi="宋体" w:cs="宋体"/>
              </w:rPr>
              <w:t>（20分）</w:t>
            </w:r>
          </w:p>
        </w:tc>
        <w:tc>
          <w:tcPr>
            <w:tcW w:w="9062" w:type="dxa"/>
            <w:vAlign w:val="center"/>
          </w:tcPr>
          <w:p>
            <w:pPr>
              <w:widowControl w:val="0"/>
              <w:jc w:val="both"/>
              <w:rPr>
                <w:rFonts w:hint="eastAsia" w:ascii="仿宋_GB2312" w:eastAsia="仿宋_GB2312"/>
                <w:kern w:val="2"/>
                <w:lang w:eastAsia="zh-CN"/>
              </w:rPr>
            </w:pPr>
            <w:r>
              <w:rPr>
                <w:rFonts w:hint="eastAsia" w:ascii="仿宋_GB2312" w:eastAsia="仿宋_GB2312"/>
                <w:kern w:val="2"/>
              </w:rPr>
              <w:t>加强对全院技能大赛工作的协调调度，系统组织学生参加行业、全省、全国举办的大学生职业技能竞赛、创新大赛。（组织工作不力或出现差错扣1分，未能进入省级以上比赛扣2分，综合成绩较上一年度下降扣1分）</w:t>
            </w:r>
            <w:r>
              <w:rPr>
                <w:rFonts w:hint="eastAsia" w:ascii="仿宋_GB2312" w:eastAsia="仿宋_GB2312"/>
                <w:kern w:val="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89"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kern w:val="2"/>
              </w:rPr>
            </w:pPr>
            <w:r>
              <w:rPr>
                <w:rFonts w:hint="eastAsia" w:ascii="宋体" w:hAnsi="宋体" w:cs="宋体"/>
                <w:kern w:val="2"/>
              </w:rPr>
              <w:t>技能鉴定</w:t>
            </w:r>
          </w:p>
          <w:p>
            <w:pPr>
              <w:widowControl w:val="0"/>
              <w:jc w:val="center"/>
              <w:rPr>
                <w:rFonts w:ascii="宋体" w:hAnsi="宋体" w:cs="宋体"/>
                <w:kern w:val="2"/>
              </w:rPr>
            </w:pPr>
            <w:r>
              <w:rPr>
                <w:rFonts w:hint="eastAsia" w:ascii="宋体" w:hAnsi="宋体" w:cs="宋体"/>
              </w:rPr>
              <w:t>（20分）</w:t>
            </w:r>
          </w:p>
        </w:tc>
        <w:tc>
          <w:tcPr>
            <w:tcW w:w="9062" w:type="dxa"/>
            <w:vAlign w:val="center"/>
          </w:tcPr>
          <w:p>
            <w:pPr>
              <w:widowControl w:val="0"/>
              <w:jc w:val="both"/>
              <w:rPr>
                <w:rFonts w:ascii="仿宋_GB2312" w:eastAsia="仿宋_GB2312"/>
                <w:kern w:val="2"/>
              </w:rPr>
            </w:pPr>
            <w:r>
              <w:rPr>
                <w:rFonts w:hint="eastAsia" w:ascii="仿宋_GB2312" w:eastAsia="仿宋_GB2312"/>
                <w:kern w:val="2"/>
              </w:rPr>
              <w:t>加强对全院职业技能培训工作的协调调度，在所有专业中全部开展资格认证工作，全面推行“双证书”制度，强化学生职业能力的培养，使毕业生的“双证书”获取率达到培养目标要求。</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18" w:hRule="atLeast"/>
          <w:jc w:val="center"/>
        </w:trPr>
        <w:tc>
          <w:tcPr>
            <w:tcW w:w="1234" w:type="dxa"/>
            <w:vMerge w:val="restart"/>
            <w:vAlign w:val="center"/>
          </w:tcPr>
          <w:p>
            <w:pPr>
              <w:widowControl w:val="0"/>
              <w:spacing w:before="69" w:beforeLines="20" w:after="69" w:afterLines="20"/>
              <w:jc w:val="center"/>
              <w:rPr>
                <w:rFonts w:ascii="宋体" w:hAnsi="宋体" w:cs="宋体"/>
              </w:rPr>
            </w:pPr>
            <w:r>
              <w:rPr>
                <w:rFonts w:hint="eastAsia" w:ascii="宋体" w:hAnsi="宋体" w:cs="宋体"/>
              </w:rPr>
              <w:t>图书馆</w:t>
            </w:r>
          </w:p>
          <w:p>
            <w:pPr>
              <w:widowControl w:val="0"/>
              <w:spacing w:before="69" w:beforeLines="20" w:after="69" w:afterLines="20"/>
              <w:jc w:val="center"/>
              <w:rPr>
                <w:rFonts w:ascii="宋体" w:hAnsi="宋体" w:cs="宋体"/>
              </w:rPr>
            </w:pPr>
            <w:r>
              <w:rPr>
                <w:rFonts w:hint="eastAsia" w:ascii="宋体" w:hAnsi="宋体" w:cs="宋体"/>
              </w:rPr>
              <w:t>履职指标</w:t>
            </w:r>
          </w:p>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rPr>
            </w:pPr>
            <w:r>
              <w:rPr>
                <w:rFonts w:hint="eastAsia" w:ascii="宋体" w:hAnsi="宋体" w:cs="宋体"/>
              </w:rPr>
              <w:t>图书采编</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276" w:lineRule="auto"/>
              <w:jc w:val="both"/>
              <w:rPr>
                <w:rFonts w:ascii="仿宋_GB2312" w:eastAsia="仿宋_GB2312"/>
              </w:rPr>
            </w:pPr>
            <w:r>
              <w:rPr>
                <w:rFonts w:hint="eastAsia" w:ascii="仿宋_GB2312" w:eastAsia="仿宋_GB2312"/>
              </w:rPr>
              <w:t>做好图书、文献的征订工作，无购书计划或期刊征订不及时、有错漏（每项次扣1分）。</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both"/>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16"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numPr>
                <w:ilvl w:val="0"/>
                <w:numId w:val="1"/>
              </w:numPr>
              <w:spacing w:before="69" w:beforeLines="20" w:after="69" w:afterLines="20"/>
              <w:ind w:left="33"/>
              <w:jc w:val="center"/>
              <w:rPr>
                <w:rFonts w:ascii="宋体" w:hAnsi="宋体" w:cs="宋体"/>
              </w:rPr>
            </w:pPr>
          </w:p>
        </w:tc>
        <w:tc>
          <w:tcPr>
            <w:tcW w:w="9062" w:type="dxa"/>
            <w:vAlign w:val="center"/>
          </w:tcPr>
          <w:p>
            <w:pPr>
              <w:widowControl w:val="0"/>
              <w:spacing w:line="276" w:lineRule="auto"/>
              <w:jc w:val="both"/>
              <w:rPr>
                <w:rFonts w:ascii="仿宋_GB2312" w:eastAsia="仿宋_GB2312"/>
              </w:rPr>
            </w:pPr>
            <w:r>
              <w:rPr>
                <w:rFonts w:hint="eastAsia" w:ascii="仿宋_GB2312" w:eastAsia="仿宋_GB2312"/>
              </w:rPr>
              <w:t>采集、编目、上架做到规范、及时、准确（图书不及时入库、上架或采编出现差错扣1分）。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69"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rPr>
            </w:pPr>
            <w:r>
              <w:rPr>
                <w:rFonts w:hint="eastAsia" w:ascii="宋体" w:hAnsi="宋体" w:cs="宋体"/>
              </w:rPr>
              <w:t>书库管理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276" w:lineRule="auto"/>
              <w:jc w:val="both"/>
              <w:rPr>
                <w:rFonts w:hint="eastAsia" w:ascii="仿宋_GB2312" w:eastAsia="仿宋_GB2312"/>
                <w:lang w:eastAsia="zh-CN"/>
              </w:rPr>
            </w:pPr>
            <w:r>
              <w:rPr>
                <w:rFonts w:hint="eastAsia" w:ascii="仿宋_GB2312" w:eastAsia="仿宋_GB2312"/>
              </w:rPr>
              <w:t>落实岗位责任制，有防火防盗措施和安全检查记录（出现事故1次扣2分）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1"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spacing w:line="276" w:lineRule="auto"/>
              <w:jc w:val="both"/>
              <w:rPr>
                <w:rFonts w:ascii="仿宋_GB2312" w:eastAsia="仿宋_GB2312"/>
              </w:rPr>
            </w:pPr>
            <w:r>
              <w:rPr>
                <w:rFonts w:hint="eastAsia" w:ascii="仿宋_GB2312" w:eastAsia="仿宋_GB2312"/>
              </w:rPr>
              <w:t>各种规章制度上墙，内部管理整洁、卫生、规范（管理不规范或环境差扣1分）。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31"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图书借阅</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276" w:lineRule="auto"/>
              <w:jc w:val="both"/>
              <w:rPr>
                <w:rFonts w:ascii="仿宋_GB2312" w:eastAsia="仿宋_GB2312"/>
              </w:rPr>
            </w:pPr>
            <w:r>
              <w:rPr>
                <w:rFonts w:hint="eastAsia" w:ascii="仿宋_GB2312" w:eastAsia="仿宋_GB2312"/>
              </w:rPr>
              <w:t>馆藏图书、报刊借阅及流通服务做到服务热情和质量良好（借阅手续不齐全或服务态度差致强烈反映，扣1分），学生归还图书及时上架。</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28"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阅览室管理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276" w:lineRule="auto"/>
              <w:jc w:val="both"/>
              <w:rPr>
                <w:rFonts w:ascii="仿宋_GB2312" w:eastAsia="仿宋_GB2312"/>
              </w:rPr>
            </w:pPr>
            <w:r>
              <w:rPr>
                <w:rFonts w:hint="eastAsia" w:ascii="仿宋_GB2312" w:eastAsia="仿宋_GB2312"/>
              </w:rPr>
              <w:t>保持阅览室整洁、规范、安静，按时开放（环境差或开放阅览时间不够规定标准，扣1分）。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09"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Align w:val="center"/>
          </w:tcPr>
          <w:p>
            <w:pPr>
              <w:widowControl w:val="0"/>
              <w:jc w:val="center"/>
              <w:rPr>
                <w:rFonts w:ascii="宋体" w:hAnsi="宋体" w:cs="宋体"/>
              </w:rPr>
            </w:pPr>
            <w:r>
              <w:rPr>
                <w:rFonts w:hint="eastAsia" w:ascii="宋体" w:hAnsi="宋体" w:cs="宋体"/>
              </w:rPr>
              <w:t>墨子研究会</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spacing w:line="276" w:lineRule="auto"/>
              <w:jc w:val="both"/>
              <w:rPr>
                <w:rFonts w:ascii="仿宋_GB2312" w:eastAsia="仿宋_GB2312"/>
              </w:rPr>
            </w:pPr>
            <w:r>
              <w:rPr>
                <w:rFonts w:hint="eastAsia" w:ascii="仿宋_GB2312" w:eastAsia="仿宋_GB2312"/>
              </w:rPr>
              <w:t>加强墨子研究会建设，定期召开研究会，开展墨子研究。</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2" w:hRule="atLeast"/>
          <w:jc w:val="center"/>
        </w:trPr>
        <w:tc>
          <w:tcPr>
            <w:tcW w:w="1234" w:type="dxa"/>
            <w:vMerge w:val="restart"/>
            <w:vAlign w:val="center"/>
          </w:tcPr>
          <w:p>
            <w:pPr>
              <w:widowControl w:val="0"/>
              <w:spacing w:before="69" w:beforeLines="20" w:after="69" w:afterLines="20"/>
              <w:jc w:val="center"/>
              <w:rPr>
                <w:rFonts w:ascii="宋体" w:hAnsi="宋体" w:cs="宋体"/>
              </w:rPr>
            </w:pPr>
            <w:r>
              <w:rPr>
                <w:rFonts w:hint="eastAsia" w:ascii="宋体" w:hAnsi="宋体" w:cs="宋体"/>
              </w:rPr>
              <w:t>附属医院</w:t>
            </w:r>
          </w:p>
          <w:p>
            <w:pPr>
              <w:widowControl w:val="0"/>
              <w:spacing w:before="69" w:beforeLines="20" w:after="69" w:afterLines="20"/>
              <w:jc w:val="center"/>
              <w:rPr>
                <w:rFonts w:ascii="宋体" w:hAnsi="宋体" w:cs="宋体"/>
              </w:rPr>
            </w:pPr>
            <w:r>
              <w:rPr>
                <w:rFonts w:hint="eastAsia" w:ascii="宋体" w:hAnsi="宋体" w:cs="宋体"/>
              </w:rPr>
              <w:t>履职指标</w:t>
            </w:r>
          </w:p>
          <w:p>
            <w:pPr>
              <w:widowControl w:val="0"/>
              <w:spacing w:before="69" w:beforeLines="20" w:after="69" w:afterLines="20"/>
              <w:jc w:val="center"/>
              <w:rPr>
                <w:rFonts w:ascii="宋体" w:hAnsi="宋体" w:cs="宋体"/>
              </w:rPr>
            </w:pPr>
          </w:p>
        </w:tc>
        <w:tc>
          <w:tcPr>
            <w:tcW w:w="1770" w:type="dxa"/>
            <w:vMerge w:val="restart"/>
            <w:vAlign w:val="center"/>
          </w:tcPr>
          <w:p>
            <w:pPr>
              <w:widowControl w:val="0"/>
              <w:spacing w:line="292" w:lineRule="exact"/>
              <w:jc w:val="center"/>
              <w:rPr>
                <w:rFonts w:ascii="宋体" w:hAnsi="宋体" w:cs="宋体"/>
              </w:rPr>
            </w:pPr>
            <w:r>
              <w:rPr>
                <w:rFonts w:hint="eastAsia" w:ascii="宋体" w:hAnsi="宋体" w:cs="宋体"/>
              </w:rPr>
              <w:t>传染病防治工作组织制度</w:t>
            </w:r>
          </w:p>
          <w:p>
            <w:pPr>
              <w:widowControl w:val="0"/>
              <w:spacing w:line="292" w:lineRule="exact"/>
              <w:jc w:val="center"/>
              <w:rPr>
                <w:rFonts w:ascii="宋体" w:hAnsi="宋体" w:cs="宋体"/>
              </w:rPr>
            </w:pPr>
            <w:r>
              <w:rPr>
                <w:rFonts w:hint="eastAsia" w:ascii="宋体" w:hAnsi="宋体" w:cs="宋体"/>
              </w:rPr>
              <w:t>（20分）</w:t>
            </w:r>
          </w:p>
        </w:tc>
        <w:tc>
          <w:tcPr>
            <w:tcW w:w="9062" w:type="dxa"/>
            <w:vAlign w:val="center"/>
          </w:tcPr>
          <w:p>
            <w:pPr>
              <w:widowControl w:val="0"/>
              <w:jc w:val="both"/>
              <w:rPr>
                <w:rFonts w:hint="eastAsia" w:ascii="仿宋_GB2312" w:eastAsia="仿宋_GB2312"/>
                <w:lang w:eastAsia="zh-CN"/>
              </w:rPr>
            </w:pPr>
            <w:r>
              <w:rPr>
                <w:rFonts w:hint="eastAsia" w:ascii="仿宋_GB2312" w:eastAsia="仿宋_GB2312"/>
              </w:rPr>
              <w:t>成立传染病防治工作领导小组；设专人负责传染病报告</w:t>
            </w:r>
            <w:r>
              <w:rPr>
                <w:rFonts w:hint="eastAsia" w:ascii="仿宋_GB2312" w:eastAsia="仿宋_GB2312"/>
                <w:lang w:eastAsia="zh-CN"/>
              </w:rPr>
              <w:t>。</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left"/>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32"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numPr>
                <w:ilvl w:val="0"/>
                <w:numId w:val="1"/>
              </w:numPr>
              <w:spacing w:before="69" w:beforeLines="20" w:after="69" w:afterLines="20"/>
              <w:ind w:left="33"/>
              <w:jc w:val="center"/>
              <w:rPr>
                <w:rFonts w:ascii="宋体" w:hAnsi="宋体" w:cs="宋体"/>
              </w:rPr>
            </w:pPr>
          </w:p>
        </w:tc>
        <w:tc>
          <w:tcPr>
            <w:tcW w:w="9062" w:type="dxa"/>
            <w:vAlign w:val="center"/>
          </w:tcPr>
          <w:p>
            <w:pPr>
              <w:widowControl w:val="0"/>
              <w:jc w:val="both"/>
              <w:rPr>
                <w:rFonts w:ascii="仿宋_GB2312" w:eastAsia="仿宋_GB2312"/>
              </w:rPr>
            </w:pPr>
            <w:r>
              <w:rPr>
                <w:rFonts w:hint="eastAsia" w:ascii="仿宋_GB2312" w:eastAsia="仿宋_GB2312"/>
              </w:rPr>
              <w:t>制定传染病预防、控制预案；查阅有关资料，有得分，无不得分。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2"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rPr>
            </w:pPr>
            <w:r>
              <w:rPr>
                <w:rFonts w:hint="eastAsia" w:ascii="宋体" w:hAnsi="宋体" w:cs="宋体"/>
              </w:rPr>
              <w:t>传染病疫情报告管理</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jc w:val="both"/>
              <w:rPr>
                <w:rFonts w:ascii="仿宋_GB2312" w:eastAsia="仿宋_GB2312"/>
              </w:rPr>
            </w:pPr>
            <w:r>
              <w:rPr>
                <w:rFonts w:hint="eastAsia" w:ascii="仿宋_GB2312" w:eastAsia="仿宋_GB2312"/>
              </w:rPr>
              <w:t>学生就诊登记本，登记不连续、不齐全扣2分，无不得分。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37"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jc w:val="both"/>
              <w:rPr>
                <w:rFonts w:ascii="仿宋_GB2312" w:eastAsia="仿宋_GB2312"/>
              </w:rPr>
            </w:pPr>
            <w:r>
              <w:rPr>
                <w:rFonts w:hint="eastAsia" w:ascii="仿宋_GB2312" w:eastAsia="仿宋_GB2312"/>
              </w:rPr>
              <w:t>传染病登记表和报告卡，查看传染病登记表，漏报1例疫情扣1分，无不得分。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17"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jc w:val="both"/>
              <w:rPr>
                <w:rFonts w:ascii="仿宋_GB2312" w:eastAsia="仿宋_GB2312"/>
              </w:rPr>
            </w:pPr>
            <w:r>
              <w:rPr>
                <w:rFonts w:hint="eastAsia" w:ascii="仿宋_GB2312" w:eastAsia="仿宋_GB2312"/>
              </w:rPr>
              <w:t>传染病患者返校医疗机构证明，查看传染病登记表，漏1人不登记，扣1分。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2"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jc w:val="center"/>
              <w:rPr>
                <w:rFonts w:ascii="宋体" w:hAnsi="宋体" w:cs="宋体"/>
              </w:rPr>
            </w:pPr>
            <w:r>
              <w:rPr>
                <w:rFonts w:hint="eastAsia" w:ascii="宋体" w:hAnsi="宋体" w:cs="宋体"/>
              </w:rPr>
              <w:t>经常性预防传染病措施</w:t>
            </w:r>
          </w:p>
          <w:p>
            <w:pPr>
              <w:widowControl w:val="0"/>
              <w:jc w:val="center"/>
              <w:rPr>
                <w:rFonts w:ascii="宋体" w:hAnsi="宋体" w:cs="宋体"/>
              </w:rPr>
            </w:pPr>
            <w:r>
              <w:rPr>
                <w:rFonts w:hint="eastAsia" w:ascii="宋体" w:hAnsi="宋体" w:cs="宋体"/>
              </w:rPr>
              <w:t>（20分）</w:t>
            </w:r>
          </w:p>
        </w:tc>
        <w:tc>
          <w:tcPr>
            <w:tcW w:w="9062" w:type="dxa"/>
            <w:vAlign w:val="center"/>
          </w:tcPr>
          <w:p>
            <w:pPr>
              <w:widowControl w:val="0"/>
              <w:jc w:val="both"/>
              <w:rPr>
                <w:rFonts w:hint="eastAsia" w:ascii="仿宋_GB2312" w:eastAsia="仿宋_GB2312"/>
                <w:lang w:eastAsia="zh-CN"/>
              </w:rPr>
            </w:pPr>
            <w:r>
              <w:rPr>
                <w:rFonts w:hint="eastAsia" w:ascii="仿宋_GB2312" w:eastAsia="仿宋_GB2312"/>
              </w:rPr>
              <w:t>建立学生健康档案，查阅有关资料，有得分，无不得分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42"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jc w:val="both"/>
              <w:rPr>
                <w:rFonts w:hint="eastAsia" w:ascii="仿宋_GB2312" w:eastAsia="仿宋_GB2312"/>
                <w:lang w:eastAsia="zh-CN"/>
              </w:rPr>
            </w:pPr>
            <w:r>
              <w:rPr>
                <w:rFonts w:hint="eastAsia" w:ascii="仿宋_GB2312" w:eastAsia="仿宋_GB2312"/>
              </w:rPr>
              <w:t>做好消毒、消杀记录；日常储备两种以上消毒药品；查阅资料，查看现场，有得分，无不得分</w:t>
            </w:r>
            <w:r>
              <w:rPr>
                <w:rFonts w:hint="eastAsia" w:ascii="仿宋_GB2312"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63"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spacing w:line="292" w:lineRule="exact"/>
              <w:jc w:val="center"/>
              <w:rPr>
                <w:rFonts w:ascii="宋体" w:hAnsi="宋体" w:cs="宋体"/>
              </w:rPr>
            </w:pPr>
            <w:r>
              <w:rPr>
                <w:rFonts w:hint="eastAsia" w:ascii="宋体" w:hAnsi="宋体" w:cs="宋体"/>
              </w:rPr>
              <w:t>卫生保健培训与健康教育</w:t>
            </w:r>
          </w:p>
          <w:p>
            <w:pPr>
              <w:widowControl w:val="0"/>
              <w:spacing w:line="292" w:lineRule="exact"/>
              <w:jc w:val="center"/>
              <w:rPr>
                <w:rFonts w:ascii="宋体" w:hAnsi="宋体" w:cs="宋体"/>
              </w:rPr>
            </w:pPr>
            <w:r>
              <w:rPr>
                <w:rFonts w:hint="eastAsia" w:ascii="宋体" w:hAnsi="宋体" w:cs="宋体"/>
              </w:rPr>
              <w:t>（20分）</w:t>
            </w:r>
          </w:p>
        </w:tc>
        <w:tc>
          <w:tcPr>
            <w:tcW w:w="9062" w:type="dxa"/>
            <w:vAlign w:val="center"/>
          </w:tcPr>
          <w:p>
            <w:pPr>
              <w:widowControl w:val="0"/>
              <w:jc w:val="both"/>
              <w:rPr>
                <w:rFonts w:ascii="仿宋_GB2312" w:eastAsia="仿宋_GB2312"/>
              </w:rPr>
            </w:pPr>
            <w:r>
              <w:rPr>
                <w:rFonts w:hint="eastAsia" w:ascii="仿宋_GB2312" w:hAnsi="Times New Roman" w:eastAsia="仿宋_GB2312"/>
              </w:rPr>
              <w:t>健康教育，查看传染病防治宣传栏、宣传资料，查阅有关资料，有得分，无不得分。</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1"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continue"/>
            <w:vAlign w:val="center"/>
          </w:tcPr>
          <w:p>
            <w:pPr>
              <w:widowControl w:val="0"/>
              <w:spacing w:before="69" w:beforeLines="20" w:after="69" w:afterLines="20"/>
              <w:jc w:val="center"/>
              <w:rPr>
                <w:rFonts w:ascii="宋体" w:hAnsi="宋体" w:cs="宋体"/>
              </w:rPr>
            </w:pPr>
          </w:p>
        </w:tc>
        <w:tc>
          <w:tcPr>
            <w:tcW w:w="9062" w:type="dxa"/>
            <w:vAlign w:val="center"/>
          </w:tcPr>
          <w:p>
            <w:pPr>
              <w:widowControl w:val="0"/>
              <w:jc w:val="both"/>
              <w:rPr>
                <w:rFonts w:ascii="仿宋_GB2312" w:hAnsi="Times New Roman" w:eastAsia="仿宋_GB2312"/>
              </w:rPr>
            </w:pPr>
            <w:r>
              <w:rPr>
                <w:rFonts w:hint="eastAsia" w:ascii="仿宋_GB2312" w:hAnsi="Times New Roman" w:eastAsia="仿宋_GB2312"/>
              </w:rPr>
              <w:t>工作人员熟悉传染病防治上报处理程序、消毒隔离措施、预防控制措施，现场询问。</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2" w:hRule="atLeast"/>
          <w:jc w:val="center"/>
        </w:trPr>
        <w:tc>
          <w:tcPr>
            <w:tcW w:w="1234" w:type="dxa"/>
            <w:vMerge w:val="continue"/>
            <w:vAlign w:val="center"/>
          </w:tcPr>
          <w:p>
            <w:pPr>
              <w:widowControl w:val="0"/>
              <w:spacing w:before="69" w:beforeLines="20" w:after="69" w:afterLines="20"/>
              <w:jc w:val="center"/>
              <w:rPr>
                <w:rFonts w:ascii="宋体" w:hAnsi="宋体" w:cs="宋体"/>
              </w:rPr>
            </w:pPr>
          </w:p>
        </w:tc>
        <w:tc>
          <w:tcPr>
            <w:tcW w:w="1770" w:type="dxa"/>
            <w:vMerge w:val="restart"/>
            <w:vAlign w:val="center"/>
          </w:tcPr>
          <w:p>
            <w:pPr>
              <w:widowControl w:val="0"/>
              <w:spacing w:line="292" w:lineRule="exact"/>
              <w:jc w:val="center"/>
              <w:rPr>
                <w:rFonts w:ascii="宋体" w:hAnsi="宋体" w:cs="宋体"/>
              </w:rPr>
            </w:pPr>
            <w:r>
              <w:rPr>
                <w:rFonts w:hint="eastAsia" w:ascii="宋体" w:hAnsi="宋体" w:cs="宋体"/>
              </w:rPr>
              <w:t>医疗服务</w:t>
            </w:r>
          </w:p>
          <w:p>
            <w:pPr>
              <w:widowControl w:val="0"/>
              <w:spacing w:line="292" w:lineRule="exact"/>
              <w:jc w:val="center"/>
              <w:rPr>
                <w:rFonts w:ascii="宋体" w:hAnsi="宋体" w:cs="宋体"/>
              </w:rPr>
            </w:pPr>
            <w:r>
              <w:rPr>
                <w:rFonts w:hint="eastAsia" w:ascii="宋体" w:hAnsi="宋体" w:cs="宋体"/>
              </w:rPr>
              <w:t>（20分）</w:t>
            </w:r>
          </w:p>
        </w:tc>
        <w:tc>
          <w:tcPr>
            <w:tcW w:w="9062" w:type="dxa"/>
            <w:vAlign w:val="center"/>
          </w:tcPr>
          <w:p>
            <w:pPr>
              <w:widowControl w:val="0"/>
              <w:jc w:val="both"/>
              <w:rPr>
                <w:rFonts w:hint="eastAsia" w:ascii="仿宋_GB2312" w:hAnsi="Times New Roman" w:eastAsia="仿宋_GB2312"/>
                <w:lang w:eastAsia="zh-CN"/>
              </w:rPr>
            </w:pPr>
            <w:r>
              <w:rPr>
                <w:rFonts w:hint="eastAsia" w:ascii="仿宋_GB2312" w:hAnsi="Times New Roman" w:eastAsia="仿宋_GB2312"/>
              </w:rPr>
              <w:t>日常性医疗服务，现场查看，调查师生</w:t>
            </w:r>
            <w:r>
              <w:rPr>
                <w:rFonts w:hint="eastAsia" w:ascii="仿宋_GB2312" w:hAnsi="Times New Roman" w:eastAsia="仿宋_GB2312"/>
                <w:lang w:eastAsia="zh-CN"/>
              </w:rPr>
              <w:t>。</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12" w:hRule="atLeast"/>
          <w:jc w:val="center"/>
        </w:trPr>
        <w:tc>
          <w:tcPr>
            <w:tcW w:w="1234" w:type="dxa"/>
            <w:vMerge w:val="continue"/>
          </w:tcPr>
          <w:p>
            <w:pPr>
              <w:widowControl w:val="0"/>
              <w:spacing w:before="69" w:beforeLines="20" w:after="69" w:afterLines="20"/>
              <w:jc w:val="center"/>
              <w:rPr>
                <w:rFonts w:ascii="仿宋_GB2312" w:eastAsia="仿宋_GB2312"/>
              </w:rPr>
            </w:pPr>
          </w:p>
        </w:tc>
        <w:tc>
          <w:tcPr>
            <w:tcW w:w="1770" w:type="dxa"/>
            <w:vMerge w:val="continue"/>
          </w:tcPr>
          <w:p>
            <w:pPr>
              <w:widowControl w:val="0"/>
              <w:spacing w:before="69" w:beforeLines="20" w:after="69" w:afterLines="20"/>
              <w:jc w:val="both"/>
              <w:rPr>
                <w:rFonts w:ascii="仿宋_GB2312" w:eastAsia="仿宋_GB2312" w:hAnsiTheme="minorEastAsia"/>
              </w:rPr>
            </w:pPr>
          </w:p>
        </w:tc>
        <w:tc>
          <w:tcPr>
            <w:tcW w:w="9062" w:type="dxa"/>
            <w:vAlign w:val="center"/>
          </w:tcPr>
          <w:p>
            <w:pPr>
              <w:widowControl w:val="0"/>
              <w:jc w:val="both"/>
              <w:rPr>
                <w:rFonts w:ascii="仿宋_GB2312" w:hAnsi="Times New Roman" w:eastAsia="仿宋_GB2312"/>
              </w:rPr>
            </w:pPr>
            <w:r>
              <w:rPr>
                <w:rFonts w:hint="eastAsia" w:ascii="仿宋_GB2312" w:eastAsia="仿宋_GB2312"/>
              </w:rPr>
              <w:t>为学院重要活动提供卫生保健，现场查看，调查师生。</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34" w:hRule="atLeast"/>
          <w:jc w:val="center"/>
        </w:trPr>
        <w:tc>
          <w:tcPr>
            <w:tcW w:w="1234" w:type="dxa"/>
            <w:vMerge w:val="restart"/>
            <w:vAlign w:val="center"/>
          </w:tcPr>
          <w:p>
            <w:pPr>
              <w:widowControl w:val="0"/>
              <w:spacing w:before="69" w:beforeLines="20" w:after="69" w:afterLines="20"/>
              <w:jc w:val="center"/>
              <w:rPr>
                <w:rFonts w:ascii="宋体" w:hAnsi="宋体" w:cs="宋体"/>
              </w:rPr>
            </w:pPr>
            <w:r>
              <w:rPr>
                <w:rFonts w:hint="eastAsia" w:ascii="宋体" w:hAnsi="宋体" w:cs="宋体"/>
              </w:rPr>
              <w:t>思政部</w:t>
            </w:r>
          </w:p>
          <w:p>
            <w:pPr>
              <w:widowControl w:val="0"/>
              <w:spacing w:before="69" w:beforeLines="20" w:after="69" w:afterLines="20"/>
              <w:jc w:val="center"/>
              <w:rPr>
                <w:rFonts w:ascii="宋体" w:hAnsi="宋体" w:cs="宋体"/>
              </w:rPr>
            </w:pPr>
            <w:r>
              <w:rPr>
                <w:rFonts w:hint="eastAsia" w:ascii="宋体" w:hAnsi="宋体" w:cs="宋体"/>
              </w:rPr>
              <w:t>履职指标</w:t>
            </w:r>
          </w:p>
          <w:p>
            <w:pPr>
              <w:widowControl w:val="0"/>
              <w:spacing w:before="69" w:beforeLines="20" w:after="69" w:afterLines="20"/>
              <w:jc w:val="center"/>
              <w:rPr>
                <w:rFonts w:ascii="仿宋_GB2312" w:eastAsia="仿宋_GB2312"/>
              </w:rPr>
            </w:pPr>
          </w:p>
        </w:tc>
        <w:tc>
          <w:tcPr>
            <w:tcW w:w="1770" w:type="dxa"/>
            <w:vAlign w:val="center"/>
          </w:tcPr>
          <w:p>
            <w:pPr>
              <w:widowControl/>
              <w:jc w:val="center"/>
            </w:pPr>
            <w:r>
              <w:rPr>
                <w:rFonts w:hint="eastAsia"/>
              </w:rPr>
              <w:t>立德树人</w:t>
            </w:r>
          </w:p>
          <w:p>
            <w:pPr>
              <w:widowControl/>
              <w:jc w:val="center"/>
            </w:pPr>
            <w:r>
              <w:rPr>
                <w:rFonts w:hint="eastAsia" w:ascii="宋体" w:hAnsi="宋体" w:cs="宋体"/>
              </w:rPr>
              <w:t>（20分）</w:t>
            </w:r>
          </w:p>
        </w:tc>
        <w:tc>
          <w:tcPr>
            <w:tcW w:w="9062" w:type="dxa"/>
            <w:vAlign w:val="center"/>
          </w:tcPr>
          <w:p>
            <w:pPr>
              <w:widowControl w:val="0"/>
              <w:jc w:val="both"/>
              <w:rPr>
                <w:rFonts w:ascii="仿宋_GB2312" w:eastAsia="仿宋_GB2312"/>
              </w:rPr>
            </w:pPr>
            <w:r>
              <w:rPr>
                <w:rFonts w:hint="eastAsia" w:ascii="仿宋_GB2312" w:eastAsia="仿宋_GB2312"/>
              </w:rPr>
              <w:t>建立立德树人长效机制，</w:t>
            </w:r>
            <w:r>
              <w:rPr>
                <w:rFonts w:hint="eastAsia" w:ascii="仿宋_GB2312" w:hAnsi="微软雅黑" w:eastAsia="仿宋_GB2312" w:cs="宋体"/>
              </w:rPr>
              <w:t>坚持把立德树人的成效作为检验学院一切工作的根本标准，全面贯彻党的教育方针。</w:t>
            </w:r>
          </w:p>
          <w:p>
            <w:pPr>
              <w:widowControl/>
              <w:jc w:val="both"/>
              <w:rPr>
                <w:rFonts w:ascii="仿宋_GB2312" w:eastAsia="仿宋_GB2312"/>
              </w:rPr>
            </w:pPr>
            <w:r>
              <w:rPr>
                <w:rFonts w:ascii="仿宋_GB2312" w:eastAsia="仿宋_GB2312"/>
              </w:rPr>
              <w:t>党委书记、</w:t>
            </w:r>
            <w:r>
              <w:rPr>
                <w:rFonts w:hint="eastAsia" w:ascii="仿宋_GB2312" w:eastAsia="仿宋_GB2312"/>
              </w:rPr>
              <w:t>院</w:t>
            </w:r>
            <w:r>
              <w:rPr>
                <w:rFonts w:ascii="仿宋_GB2312" w:eastAsia="仿宋_GB2312"/>
              </w:rPr>
              <w:t>长每学期至少给学生讲授4个课时思政课，</w:t>
            </w:r>
            <w:r>
              <w:rPr>
                <w:rFonts w:hint="eastAsia" w:ascii="仿宋_GB2312" w:eastAsia="仿宋_GB2312"/>
              </w:rPr>
              <w:t>学院</w:t>
            </w:r>
            <w:r>
              <w:rPr>
                <w:rFonts w:ascii="仿宋_GB2312" w:eastAsia="仿宋_GB2312"/>
              </w:rPr>
              <w:t>领导班子其他成员每学期至少给学生讲授2个课时思政课。</w:t>
            </w:r>
            <w:r>
              <w:rPr>
                <w:rFonts w:hint="eastAsia" w:ascii="仿宋_GB2312" w:eastAsia="仿宋_GB2312"/>
              </w:rPr>
              <w:t>院领导班子成员每学期听思政课不少于2课时。院领导班子成员要联系1-2名思政课教师，并开展好谈心谈话和指导工作。</w:t>
            </w:r>
          </w:p>
        </w:tc>
        <w:tc>
          <w:tcPr>
            <w:tcW w:w="2105" w:type="dxa"/>
            <w:vMerge w:val="restart"/>
            <w:vAlign w:val="center"/>
          </w:tcPr>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val="0"/>
              <w:spacing w:before="69" w:beforeLines="20" w:after="69" w:afterLines="20"/>
              <w:jc w:val="both"/>
            </w:pPr>
            <w:r>
              <w:rPr>
                <w:rFonts w:hint="eastAsia" w:ascii="仿宋_GB2312" w:hAnsi="宋体" w:eastAsia="仿宋_GB2312"/>
                <w:color w:val="000000"/>
                <w:sz w:val="24"/>
                <w:szCs w:val="24"/>
                <w:lang w:val="en-US" w:eastAsia="zh-CN"/>
              </w:rPr>
              <w:t>计算方法：加权得分。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30" w:hRule="atLeast"/>
          <w:jc w:val="center"/>
        </w:trPr>
        <w:tc>
          <w:tcPr>
            <w:tcW w:w="1234" w:type="dxa"/>
            <w:vMerge w:val="continue"/>
          </w:tcPr>
          <w:p>
            <w:pPr>
              <w:widowControl w:val="0"/>
              <w:spacing w:before="69" w:beforeLines="20" w:after="69" w:afterLines="20"/>
              <w:jc w:val="center"/>
              <w:rPr>
                <w:rFonts w:ascii="仿宋_GB2312" w:eastAsia="仿宋_GB2312"/>
              </w:rPr>
            </w:pPr>
          </w:p>
        </w:tc>
        <w:tc>
          <w:tcPr>
            <w:tcW w:w="1770" w:type="dxa"/>
            <w:vAlign w:val="center"/>
          </w:tcPr>
          <w:p>
            <w:pPr>
              <w:widowControl w:val="0"/>
              <w:jc w:val="center"/>
            </w:pPr>
            <w:r>
              <w:rPr>
                <w:rFonts w:hint="eastAsia"/>
              </w:rPr>
              <w:t>课程建设</w:t>
            </w:r>
          </w:p>
          <w:p>
            <w:pPr>
              <w:widowControl w:val="0"/>
              <w:jc w:val="center"/>
            </w:pPr>
            <w:r>
              <w:rPr>
                <w:rFonts w:hint="eastAsia" w:ascii="宋体" w:hAnsi="宋体" w:cs="宋体"/>
              </w:rPr>
              <w:t>（20分）</w:t>
            </w:r>
          </w:p>
        </w:tc>
        <w:tc>
          <w:tcPr>
            <w:tcW w:w="9062" w:type="dxa"/>
            <w:vAlign w:val="center"/>
          </w:tcPr>
          <w:p>
            <w:pPr>
              <w:widowControl w:val="0"/>
              <w:jc w:val="both"/>
              <w:rPr>
                <w:rFonts w:ascii="仿宋_GB2312" w:eastAsia="仿宋_GB2312"/>
              </w:rPr>
            </w:pPr>
            <w:r>
              <w:rPr>
                <w:rFonts w:hint="eastAsia" w:ascii="仿宋_GB2312" w:eastAsia="仿宋_GB2312"/>
              </w:rPr>
              <w:t>全面贯彻思政课是落实立德树人根本任务的关键课程的重要职责，指导安排各系部按照中央的最新文件按时有序足额开设思政课。</w:t>
            </w:r>
          </w:p>
          <w:p>
            <w:pPr>
              <w:widowControl w:val="0"/>
              <w:jc w:val="both"/>
              <w:rPr>
                <w:rFonts w:ascii="仿宋_GB2312" w:eastAsia="仿宋_GB2312"/>
              </w:rPr>
            </w:pPr>
            <w:r>
              <w:rPr>
                <w:rFonts w:hint="eastAsia" w:ascii="仿宋_GB2312" w:eastAsia="仿宋_GB2312"/>
              </w:rPr>
              <w:t>使用马克思主义理论研究和建设工程统编的最新版思想政治理论课教材和教学大纲。</w:t>
            </w:r>
          </w:p>
          <w:p>
            <w:pPr>
              <w:widowControl w:val="0"/>
              <w:jc w:val="both"/>
              <w:rPr>
                <w:rFonts w:ascii="仿宋_GB2312" w:eastAsia="仿宋_GB2312"/>
              </w:rPr>
            </w:pPr>
            <w:r>
              <w:rPr>
                <w:rFonts w:hint="eastAsia" w:ascii="仿宋_GB2312" w:eastAsia="仿宋_GB2312"/>
              </w:rPr>
              <w:t>按照总书记提出的“八个相统一”的标准系统组织教师开展教学改革创新。按要求开展实践教学，强化思政课程和课程思政的有机融合。结合重大节日和重点时事开展系列思政活动。</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2" w:hRule="atLeast"/>
          <w:jc w:val="center"/>
        </w:trPr>
        <w:tc>
          <w:tcPr>
            <w:tcW w:w="1234" w:type="dxa"/>
            <w:vMerge w:val="continue"/>
          </w:tcPr>
          <w:p>
            <w:pPr>
              <w:widowControl w:val="0"/>
              <w:spacing w:before="69" w:beforeLines="20" w:after="69" w:afterLines="20"/>
              <w:jc w:val="center"/>
              <w:rPr>
                <w:rFonts w:ascii="仿宋_GB2312" w:eastAsia="仿宋_GB2312"/>
              </w:rPr>
            </w:pPr>
          </w:p>
        </w:tc>
        <w:tc>
          <w:tcPr>
            <w:tcW w:w="1770" w:type="dxa"/>
            <w:vAlign w:val="center"/>
          </w:tcPr>
          <w:p>
            <w:pPr>
              <w:widowControl w:val="0"/>
              <w:jc w:val="center"/>
            </w:pPr>
            <w:r>
              <w:rPr>
                <w:rFonts w:hint="eastAsia"/>
              </w:rPr>
              <w:t>教师队伍</w:t>
            </w:r>
          </w:p>
          <w:p>
            <w:pPr>
              <w:widowControl w:val="0"/>
              <w:jc w:val="center"/>
            </w:pPr>
            <w:r>
              <w:rPr>
                <w:rFonts w:hint="eastAsia" w:ascii="宋体" w:hAnsi="宋体" w:cs="宋体"/>
              </w:rPr>
              <w:t>（20分）</w:t>
            </w:r>
          </w:p>
        </w:tc>
        <w:tc>
          <w:tcPr>
            <w:tcW w:w="9062" w:type="dxa"/>
            <w:vAlign w:val="center"/>
          </w:tcPr>
          <w:p>
            <w:pPr>
              <w:widowControl w:val="0"/>
              <w:jc w:val="both"/>
              <w:rPr>
                <w:rFonts w:ascii="仿宋_GB2312" w:eastAsia="仿宋_GB2312"/>
              </w:rPr>
            </w:pPr>
            <w:r>
              <w:rPr>
                <w:rFonts w:hint="eastAsia" w:ascii="仿宋_GB2312" w:eastAsia="仿宋_GB2312"/>
              </w:rPr>
              <w:t>根据总书记提出的“六要”的要求，建强思政课专职教师队伍。完善、稳定兼职思政课教师队伍。思政课教师要理直气壮的讲授思政课，做到课堂教授有纪律，公开言论守规矩。</w:t>
            </w:r>
          </w:p>
          <w:p>
            <w:pPr>
              <w:widowControl w:val="0"/>
              <w:jc w:val="both"/>
              <w:rPr>
                <w:rFonts w:ascii="仿宋_GB2312" w:eastAsia="仿宋_GB2312"/>
              </w:rPr>
            </w:pPr>
            <w:r>
              <w:rPr>
                <w:rFonts w:hint="eastAsia" w:ascii="仿宋_GB2312" w:eastAsia="仿宋_GB2312"/>
              </w:rPr>
              <w:t>鼓励教师参加各级各类培训和理论研修，组织教师进行考察调研。鼓励教师参加各类比赛。实施青蓝工程，培养青年教师快速成长。</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03" w:hRule="atLeast"/>
          <w:jc w:val="center"/>
        </w:trPr>
        <w:tc>
          <w:tcPr>
            <w:tcW w:w="1234" w:type="dxa"/>
            <w:vMerge w:val="continue"/>
          </w:tcPr>
          <w:p>
            <w:pPr>
              <w:widowControl w:val="0"/>
              <w:spacing w:before="69" w:beforeLines="20" w:after="69" w:afterLines="20"/>
              <w:jc w:val="center"/>
              <w:rPr>
                <w:rFonts w:ascii="仿宋_GB2312" w:eastAsia="仿宋_GB2312"/>
              </w:rPr>
            </w:pPr>
          </w:p>
        </w:tc>
        <w:tc>
          <w:tcPr>
            <w:tcW w:w="1770" w:type="dxa"/>
            <w:vAlign w:val="center"/>
          </w:tcPr>
          <w:p>
            <w:pPr>
              <w:widowControl/>
              <w:jc w:val="center"/>
            </w:pPr>
            <w:r>
              <w:rPr>
                <w:rFonts w:hint="eastAsia"/>
              </w:rPr>
              <w:t>师德师风</w:t>
            </w:r>
          </w:p>
          <w:p>
            <w:pPr>
              <w:widowControl/>
              <w:jc w:val="center"/>
            </w:pPr>
            <w:r>
              <w:rPr>
                <w:rFonts w:hint="eastAsia" w:ascii="宋体" w:hAnsi="宋体" w:cs="宋体"/>
              </w:rPr>
              <w:t>（20分）</w:t>
            </w:r>
          </w:p>
        </w:tc>
        <w:tc>
          <w:tcPr>
            <w:tcW w:w="9062" w:type="dxa"/>
            <w:vAlign w:val="center"/>
          </w:tcPr>
          <w:p>
            <w:pPr>
              <w:widowControl w:val="0"/>
              <w:jc w:val="both"/>
              <w:rPr>
                <w:rFonts w:ascii="仿宋_GB2312" w:eastAsia="仿宋_GB2312"/>
              </w:rPr>
            </w:pPr>
            <w:r>
              <w:rPr>
                <w:rFonts w:hint="eastAsia" w:ascii="仿宋_GB2312" w:eastAsia="仿宋_GB2312"/>
              </w:rPr>
              <w:t>把师德师风作为评价教师队伍素质的第一标准，扎实推进师德建设，模范践行《新时代高校教师职业行为十项准则》，实施师德“一票否决”。</w:t>
            </w:r>
          </w:p>
          <w:p>
            <w:pPr>
              <w:widowControl w:val="0"/>
              <w:jc w:val="both"/>
              <w:rPr>
                <w:rFonts w:ascii="仿宋_GB2312" w:eastAsia="仿宋_GB2312"/>
              </w:rPr>
            </w:pPr>
            <w:r>
              <w:rPr>
                <w:rFonts w:hint="eastAsia" w:ascii="仿宋_GB2312" w:eastAsia="仿宋_GB2312"/>
              </w:rPr>
              <w:t>加强教师思想政治工作，强化理想信念教育，把社会主义核心价值观纳入教师教育，融入教师培训全过程。</w:t>
            </w:r>
          </w:p>
        </w:tc>
        <w:tc>
          <w:tcPr>
            <w:tcW w:w="2105" w:type="dxa"/>
            <w:vMerge w:val="continue"/>
          </w:tcPr>
          <w:p>
            <w:pPr>
              <w:widowControl w:val="0"/>
              <w:spacing w:before="69" w:beforeLines="20" w:after="69" w:afterLines="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2" w:hRule="atLeast"/>
          <w:jc w:val="center"/>
        </w:trPr>
        <w:tc>
          <w:tcPr>
            <w:tcW w:w="1234" w:type="dxa"/>
            <w:vMerge w:val="continue"/>
          </w:tcPr>
          <w:p>
            <w:pPr>
              <w:widowControl w:val="0"/>
              <w:spacing w:before="69" w:beforeLines="20" w:after="69" w:afterLines="20"/>
              <w:jc w:val="center"/>
              <w:rPr>
                <w:rFonts w:ascii="仿宋_GB2312" w:eastAsia="仿宋_GB2312"/>
              </w:rPr>
            </w:pPr>
          </w:p>
        </w:tc>
        <w:tc>
          <w:tcPr>
            <w:tcW w:w="1770" w:type="dxa"/>
            <w:vAlign w:val="center"/>
          </w:tcPr>
          <w:p>
            <w:pPr>
              <w:widowControl w:val="0"/>
              <w:jc w:val="center"/>
            </w:pPr>
            <w:r>
              <w:rPr>
                <w:rFonts w:hint="eastAsia"/>
              </w:rPr>
              <w:t>理论宣讲</w:t>
            </w:r>
          </w:p>
          <w:p>
            <w:pPr>
              <w:widowControl w:val="0"/>
              <w:jc w:val="center"/>
            </w:pPr>
            <w:r>
              <w:rPr>
                <w:rFonts w:hint="eastAsia" w:ascii="宋体" w:hAnsi="宋体" w:cs="宋体"/>
              </w:rPr>
              <w:t>（20分）</w:t>
            </w:r>
          </w:p>
        </w:tc>
        <w:tc>
          <w:tcPr>
            <w:tcW w:w="9062" w:type="dxa"/>
            <w:vAlign w:val="center"/>
          </w:tcPr>
          <w:p>
            <w:pPr>
              <w:widowControl w:val="0"/>
              <w:jc w:val="both"/>
              <w:rPr>
                <w:rFonts w:ascii="仿宋_GB2312" w:eastAsia="仿宋_GB2312"/>
              </w:rPr>
            </w:pPr>
            <w:r>
              <w:rPr>
                <w:rFonts w:hint="eastAsia" w:ascii="仿宋_GB2312" w:eastAsia="仿宋_GB2312"/>
              </w:rPr>
              <w:t>自觉承担起举旗帜、聚民心、育新人、兴文化、展形象的使命任务。鼓励教师进行马克思主义理论和党的路线方针政策宣讲。</w:t>
            </w:r>
          </w:p>
        </w:tc>
        <w:tc>
          <w:tcPr>
            <w:tcW w:w="2105" w:type="dxa"/>
            <w:vMerge w:val="continue"/>
          </w:tcPr>
          <w:p>
            <w:pPr>
              <w:widowControl w:val="0"/>
              <w:spacing w:before="69" w:beforeLines="20" w:after="69" w:afterLines="20"/>
              <w:jc w:val="center"/>
            </w:pPr>
          </w:p>
        </w:tc>
      </w:tr>
    </w:tbl>
    <w:p>
      <w:pPr>
        <w:rPr>
          <w:b/>
        </w:rPr>
      </w:pPr>
    </w:p>
    <w:p>
      <w:pPr>
        <w:ind w:firstLine="315" w:firstLineChars="150"/>
      </w:pPr>
      <w:r>
        <w:rPr>
          <w:rFonts w:hint="eastAsia"/>
        </w:rPr>
        <w:t>备注：各单项指标牵头单位，按照考核实施细则对相应指标及观测点进行打分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b w:val="0"/>
          <w:bCs w:val="0"/>
          <w:sz w:val="32"/>
          <w:szCs w:val="32"/>
        </w:rPr>
      </w:pPr>
      <w:r>
        <w:rPr>
          <w:rFonts w:hint="eastAsia" w:ascii="黑体" w:hAnsi="黑体" w:eastAsia="黑体"/>
          <w:b w:val="0"/>
          <w:bCs w:val="0"/>
          <w:sz w:val="32"/>
          <w:szCs w:val="32"/>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华文中宋" w:hAnsi="华文中宋" w:eastAsia="华文中宋"/>
          <w:b/>
          <w:sz w:val="36"/>
          <w:szCs w:val="36"/>
        </w:rPr>
      </w:pPr>
      <w:bookmarkStart w:id="3" w:name="_Hlk60989363"/>
      <w:r>
        <w:rPr>
          <w:rFonts w:hint="eastAsia" w:ascii="方正小标宋简体" w:hAnsi="方正小标宋_GBK" w:eastAsia="方正小标宋简体" w:cs="方正小标宋_GBK"/>
          <w:bCs/>
          <w:color w:val="000000"/>
          <w:kern w:val="0"/>
          <w:sz w:val="44"/>
          <w:szCs w:val="44"/>
          <w:lang w:val="en-US" w:eastAsia="zh-CN"/>
        </w:rPr>
        <w:t>职能部门年度工作要点考核</w:t>
      </w:r>
      <w:r>
        <w:rPr>
          <w:rFonts w:hint="eastAsia" w:ascii="方正小标宋简体" w:hAnsi="方正小标宋_GBK" w:eastAsia="方正小标宋简体" w:cs="方正小标宋_GBK"/>
          <w:bCs/>
          <w:color w:val="000000"/>
          <w:kern w:val="0"/>
          <w:sz w:val="44"/>
          <w:szCs w:val="44"/>
        </w:rPr>
        <w:t>指标</w:t>
      </w:r>
    </w:p>
    <w:p/>
    <w:bookmarkEnd w:id="3"/>
    <w:tbl>
      <w:tblPr>
        <w:tblStyle w:val="7"/>
        <w:tblW w:w="14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829"/>
        <w:gridCol w:w="7761"/>
        <w:gridCol w:w="1673"/>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1299" w:type="dxa"/>
            <w:vAlign w:val="center"/>
          </w:tcPr>
          <w:p>
            <w:pPr>
              <w:jc w:val="center"/>
              <w:rPr>
                <w:rFonts w:ascii="黑体" w:hAnsi="黑体" w:eastAsia="黑体"/>
              </w:rPr>
            </w:pPr>
            <w:r>
              <w:rPr>
                <w:rFonts w:hint="eastAsia" w:ascii="黑体" w:hAnsi="黑体" w:eastAsia="黑体"/>
              </w:rPr>
              <w:t>一级指标</w:t>
            </w:r>
          </w:p>
        </w:tc>
        <w:tc>
          <w:tcPr>
            <w:tcW w:w="1829" w:type="dxa"/>
            <w:vAlign w:val="center"/>
          </w:tcPr>
          <w:p>
            <w:pPr>
              <w:jc w:val="center"/>
              <w:rPr>
                <w:rFonts w:ascii="黑体" w:hAnsi="黑体" w:eastAsia="黑体"/>
              </w:rPr>
            </w:pPr>
            <w:r>
              <w:rPr>
                <w:rFonts w:hint="eastAsia" w:ascii="黑体" w:hAnsi="黑体" w:eastAsia="黑体"/>
              </w:rPr>
              <w:t>二级指标</w:t>
            </w:r>
          </w:p>
        </w:tc>
        <w:tc>
          <w:tcPr>
            <w:tcW w:w="7761" w:type="dxa"/>
            <w:vAlign w:val="center"/>
          </w:tcPr>
          <w:p>
            <w:pPr>
              <w:adjustRightInd w:val="0"/>
              <w:snapToGrid w:val="0"/>
              <w:ind w:right="1120"/>
              <w:jc w:val="center"/>
              <w:rPr>
                <w:rFonts w:ascii="黑体" w:hAnsi="黑体" w:eastAsia="黑体" w:cs="黑体"/>
              </w:rPr>
            </w:pPr>
            <w:r>
              <w:rPr>
                <w:rFonts w:hint="eastAsia" w:ascii="黑体" w:hAnsi="黑体" w:eastAsia="黑体" w:cs="黑体"/>
              </w:rPr>
              <w:t>考核要点</w:t>
            </w:r>
          </w:p>
        </w:tc>
        <w:tc>
          <w:tcPr>
            <w:tcW w:w="1673" w:type="dxa"/>
            <w:vAlign w:val="center"/>
          </w:tcPr>
          <w:p>
            <w:pPr>
              <w:adjustRightInd w:val="0"/>
              <w:snapToGrid w:val="0"/>
              <w:jc w:val="center"/>
              <w:rPr>
                <w:rFonts w:ascii="黑体" w:hAnsi="黑体" w:eastAsia="黑体" w:cs="黑体"/>
              </w:rPr>
            </w:pPr>
            <w:r>
              <w:rPr>
                <w:rFonts w:hint="eastAsia" w:ascii="黑体" w:hAnsi="黑体" w:eastAsia="黑体" w:cs="黑体"/>
              </w:rPr>
              <w:t>被考核部门</w:t>
            </w:r>
          </w:p>
        </w:tc>
        <w:tc>
          <w:tcPr>
            <w:tcW w:w="1845" w:type="dxa"/>
            <w:vAlign w:val="center"/>
          </w:tcPr>
          <w:p>
            <w:pPr>
              <w:adjustRightInd w:val="0"/>
              <w:snapToGrid w:val="0"/>
              <w:jc w:val="center"/>
              <w:rPr>
                <w:rFonts w:ascii="黑体" w:hAnsi="黑体" w:eastAsia="黑体" w:cs="黑体"/>
              </w:rPr>
            </w:pPr>
            <w:r>
              <w:rPr>
                <w:rFonts w:hint="eastAsia" w:ascii="黑体" w:hAnsi="黑体" w:eastAsia="黑体" w:cs="黑体"/>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9" w:type="dxa"/>
            <w:vMerge w:val="restart"/>
            <w:vAlign w:val="center"/>
          </w:tcPr>
          <w:p>
            <w:pPr>
              <w:adjustRightInd w:val="0"/>
              <w:snapToGrid w:val="0"/>
              <w:spacing w:line="0" w:lineRule="atLeast"/>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一、加强内部治理，狠抓双高建设</w:t>
            </w: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1.加强内部治理</w:t>
            </w:r>
          </w:p>
        </w:tc>
        <w:tc>
          <w:tcPr>
            <w:tcW w:w="7761" w:type="dxa"/>
            <w:vAlign w:val="center"/>
          </w:tcPr>
          <w:p>
            <w:pPr>
              <w:adjustRightInd w:val="0"/>
              <w:snapToGrid w:val="0"/>
              <w:rPr>
                <w:rFonts w:ascii="黑体" w:hAnsi="黑体" w:eastAsia="黑体" w:cs="黑体"/>
              </w:rPr>
            </w:pPr>
            <w:r>
              <w:rPr>
                <w:rFonts w:hint="eastAsia" w:ascii="仿宋_GB2312" w:eastAsia="仿宋_GB2312"/>
              </w:rPr>
              <w:t>贯彻实施学院章程，完善党委会议和院长办公会议、“三重一大”集体决策制度。</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办公室</w:t>
            </w:r>
            <w:r>
              <w:rPr>
                <w:rFonts w:hint="eastAsia" w:ascii="仿宋_GB2312" w:hAnsi="黑体" w:eastAsia="仿宋_GB2312" w:cs="黑体"/>
                <w:vertAlign w:val="superscript"/>
              </w:rPr>
              <w:t>1</w:t>
            </w:r>
          </w:p>
        </w:tc>
        <w:tc>
          <w:tcPr>
            <w:tcW w:w="1845" w:type="dxa"/>
            <w:vMerge w:val="restart"/>
            <w:vAlign w:val="center"/>
          </w:tcPr>
          <w:p>
            <w:pPr>
              <w:adjustRightInd w:val="0"/>
              <w:snapToGrid w:val="0"/>
              <w:spacing w:line="0" w:lineRule="atLeast"/>
              <w:jc w:val="left"/>
              <w:rPr>
                <w:rFonts w:ascii="仿宋_GB2312" w:hAnsi="黑体" w:eastAsia="仿宋_GB2312" w:cs="黑体"/>
              </w:rPr>
            </w:pPr>
            <w:r>
              <w:rPr>
                <w:rFonts w:hint="eastAsia" w:ascii="仿宋_GB2312" w:hAnsi="黑体" w:eastAsia="仿宋_GB2312" w:cs="黑体"/>
              </w:rPr>
              <w:t>落实到位、措施得力、成效明显的，为“好”；落实比较到位、措施比较得力、成效比较明显的，为“较好”；落实不到位、措施不得力、成效不明显的，为“差”。</w:t>
            </w:r>
          </w:p>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rPr>
                <w:rFonts w:ascii="仿宋_GB2312" w:eastAsia="仿宋_GB2312"/>
              </w:rPr>
            </w:pPr>
            <w:r>
              <w:rPr>
                <w:rFonts w:hint="eastAsia" w:ascii="仿宋_GB2312" w:eastAsia="仿宋_GB2312"/>
              </w:rPr>
              <w:t>提供当年召开职工代表大会、做好议案提案答复工作的佐证材料。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工会</w:t>
            </w:r>
            <w:r>
              <w:rPr>
                <w:rFonts w:hint="eastAsia"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rPr>
                <w:rFonts w:ascii="仿宋_GB2312" w:eastAsia="仿宋_GB2312"/>
              </w:rPr>
            </w:pPr>
            <w:r>
              <w:rPr>
                <w:rFonts w:hint="eastAsia" w:ascii="仿宋_GB2312" w:eastAsia="仿宋_GB2312"/>
              </w:rPr>
              <w:t>提供抓好学术机构建设，支持学术委员会依规履行职能的佐证材料。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教务处</w:t>
            </w:r>
            <w:r>
              <w:rPr>
                <w:rFonts w:hint="eastAsia"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rPr>
                <w:rFonts w:ascii="仿宋_GB2312" w:eastAsia="仿宋_GB2312"/>
              </w:rPr>
            </w:pPr>
            <w:r>
              <w:rPr>
                <w:rFonts w:hint="eastAsia" w:ascii="仿宋_GB2312" w:eastAsia="仿宋_GB2312"/>
              </w:rPr>
              <w:t>提供当年完善学生代表大会制度，保障学生依法参与学校民主管理和监督的支撑材料。</w:t>
            </w:r>
          </w:p>
        </w:tc>
        <w:tc>
          <w:tcPr>
            <w:tcW w:w="1673" w:type="dxa"/>
            <w:vAlign w:val="center"/>
          </w:tcPr>
          <w:p>
            <w:pPr>
              <w:adjustRightInd w:val="0"/>
              <w:snapToGrid w:val="0"/>
              <w:spacing w:line="0" w:lineRule="atLeast"/>
              <w:jc w:val="center"/>
              <w:rPr>
                <w:rFonts w:hint="eastAsia" w:ascii="仿宋_GB2312" w:hAnsi="黑体" w:eastAsia="仿宋_GB2312" w:cs="黑体"/>
              </w:rPr>
            </w:pPr>
            <w:r>
              <w:rPr>
                <w:rFonts w:hint="eastAsia" w:ascii="仿宋_GB2312" w:hAnsi="黑体" w:eastAsia="仿宋_GB2312" w:cs="黑体"/>
              </w:rPr>
              <w:t>团委学生</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工作处</w:t>
            </w:r>
            <w:r>
              <w:rPr>
                <w:rFonts w:hint="eastAsia"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2.完善考核机制</w:t>
            </w:r>
          </w:p>
        </w:tc>
        <w:tc>
          <w:tcPr>
            <w:tcW w:w="7761" w:type="dxa"/>
            <w:vAlign w:val="center"/>
          </w:tcPr>
          <w:p>
            <w:pPr>
              <w:adjustRightInd w:val="0"/>
              <w:snapToGrid w:val="0"/>
              <w:rPr>
                <w:rFonts w:hint="eastAsia" w:ascii="仿宋_GB2312" w:hAnsi="黑体" w:eastAsia="仿宋_GB2312" w:cs="黑体"/>
                <w:color w:val="000000" w:themeColor="text1"/>
                <w:lang w:eastAsia="zh-CN"/>
                <w14:textFill>
                  <w14:solidFill>
                    <w14:schemeClr w14:val="tx1"/>
                  </w14:solidFill>
                </w14:textFill>
              </w:rPr>
            </w:pPr>
            <w:r>
              <w:rPr>
                <w:rFonts w:hint="eastAsia" w:ascii="仿宋_GB2312" w:eastAsia="仿宋_GB2312"/>
                <w:color w:val="000000" w:themeColor="text1"/>
                <w14:textFill>
                  <w14:solidFill>
                    <w14:schemeClr w14:val="tx1"/>
                  </w14:solidFill>
                </w14:textFill>
              </w:rPr>
              <w:t>提供师德负面清单制度及相关支撑材料</w:t>
            </w:r>
            <w:r>
              <w:rPr>
                <w:rFonts w:hint="eastAsia" w:ascii="仿宋_GB2312" w:eastAsia="仿宋_GB2312"/>
                <w:color w:val="000000" w:themeColor="text1"/>
                <w:lang w:eastAsia="zh-CN"/>
                <w14:textFill>
                  <w14:solidFill>
                    <w14:schemeClr w14:val="tx1"/>
                  </w14:solidFill>
                </w14:textFill>
              </w:rPr>
              <w:t>。</w:t>
            </w:r>
          </w:p>
        </w:tc>
        <w:tc>
          <w:tcPr>
            <w:tcW w:w="1673" w:type="dxa"/>
            <w:vAlign w:val="center"/>
          </w:tcPr>
          <w:p>
            <w:pPr>
              <w:adjustRightInd w:val="0"/>
              <w:snapToGrid w:val="0"/>
              <w:spacing w:line="0" w:lineRule="atLeast"/>
              <w:jc w:val="center"/>
              <w:rPr>
                <w:rFonts w:ascii="仿宋_GB2312" w:hAnsi="黑体" w:eastAsia="仿宋_GB2312" w:cs="黑体"/>
                <w:color w:val="000000" w:themeColor="text1"/>
                <w14:textFill>
                  <w14:solidFill>
                    <w14:schemeClr w14:val="tx1"/>
                  </w14:solidFill>
                </w14:textFill>
              </w:rPr>
            </w:pPr>
            <w:r>
              <w:rPr>
                <w:rFonts w:hint="eastAsia" w:ascii="仿宋_GB2312" w:hAnsi="黑体" w:eastAsia="仿宋_GB2312" w:cs="黑体"/>
                <w:color w:val="000000" w:themeColor="text1"/>
                <w14:textFill>
                  <w14:solidFill>
                    <w14:schemeClr w14:val="tx1"/>
                  </w14:solidFill>
                </w14:textFill>
              </w:rPr>
              <w:t>工会</w:t>
            </w:r>
            <w:r>
              <w:rPr>
                <w:rFonts w:hint="eastAsia" w:ascii="仿宋_GB2312" w:hAnsi="黑体" w:eastAsia="仿宋_GB2312" w:cs="黑体"/>
                <w:color w:val="000000" w:themeColor="text1"/>
                <w:vertAlign w:val="superscript"/>
                <w14:textFill>
                  <w14:solidFill>
                    <w14:schemeClr w14:val="tx1"/>
                  </w14:solidFill>
                </w14:textFill>
              </w:rPr>
              <w:t>2</w:t>
            </w:r>
          </w:p>
        </w:tc>
        <w:tc>
          <w:tcPr>
            <w:tcW w:w="1845" w:type="dxa"/>
            <w:vMerge w:val="continue"/>
            <w:vAlign w:val="center"/>
          </w:tcPr>
          <w:p>
            <w:pPr>
              <w:adjustRightInd w:val="0"/>
              <w:snapToGrid w:val="0"/>
              <w:spacing w:line="0" w:lineRule="atLeast"/>
              <w:jc w:val="center"/>
              <w:rPr>
                <w:rFonts w:ascii="仿宋_GB2312" w:hAnsi="黑体" w:eastAsia="仿宋_GB2312" w:cs="黑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rPr>
                <w:rFonts w:ascii="黑体" w:hAnsi="黑体" w:eastAsia="黑体" w:cs="黑体"/>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提供教师考核评价管理办法。</w:t>
            </w:r>
          </w:p>
        </w:tc>
        <w:tc>
          <w:tcPr>
            <w:tcW w:w="1673" w:type="dxa"/>
            <w:vAlign w:val="center"/>
          </w:tcPr>
          <w:p>
            <w:pPr>
              <w:adjustRightInd w:val="0"/>
              <w:snapToGrid w:val="0"/>
              <w:spacing w:line="0" w:lineRule="atLeast"/>
              <w:jc w:val="center"/>
              <w:rPr>
                <w:rFonts w:ascii="仿宋_GB2312" w:hAnsi="黑体" w:eastAsia="仿宋_GB2312" w:cs="黑体"/>
                <w:color w:val="000000" w:themeColor="text1"/>
                <w:vertAlign w:val="superscript"/>
                <w14:textFill>
                  <w14:solidFill>
                    <w14:schemeClr w14:val="tx1"/>
                  </w14:solidFill>
                </w14:textFill>
              </w:rPr>
            </w:pPr>
            <w:r>
              <w:rPr>
                <w:rFonts w:hint="eastAsia" w:ascii="仿宋_GB2312" w:hAnsi="黑体" w:eastAsia="仿宋_GB2312" w:cs="黑体"/>
                <w:color w:val="000000" w:themeColor="text1"/>
                <w14:textFill>
                  <w14:solidFill>
                    <w14:schemeClr w14:val="tx1"/>
                  </w14:solidFill>
                </w14:textFill>
              </w:rPr>
              <w:t>组织人事部</w:t>
            </w:r>
            <w:r>
              <w:rPr>
                <w:rFonts w:hint="eastAsia" w:ascii="仿宋_GB2312" w:hAnsi="黑体" w:eastAsia="仿宋_GB2312" w:cs="黑体"/>
                <w:color w:val="000000" w:themeColor="text1"/>
                <w:vertAlign w:val="superscript"/>
                <w14:textFill>
                  <w14:solidFill>
                    <w14:schemeClr w14:val="tx1"/>
                  </w14:solidFill>
                </w14:textFill>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rPr>
                <w:rFonts w:ascii="仿宋_GB2312" w:eastAsia="仿宋_GB2312"/>
                <w:color w:val="000000" w:themeColor="text1"/>
                <w14:textFill>
                  <w14:solidFill>
                    <w14:schemeClr w14:val="tx1"/>
                  </w14:solidFill>
                </w14:textFill>
              </w:rPr>
            </w:pPr>
            <w:r>
              <w:rPr>
                <w:rFonts w:hint="eastAsia" w:ascii="仿宋_GB2312" w:eastAsia="仿宋_GB2312"/>
              </w:rPr>
              <w:t>提供专业技术职务分级聘任办法及相关支撑材料。</w:t>
            </w:r>
          </w:p>
        </w:tc>
        <w:tc>
          <w:tcPr>
            <w:tcW w:w="1673" w:type="dxa"/>
            <w:vAlign w:val="center"/>
          </w:tcPr>
          <w:p>
            <w:pPr>
              <w:adjustRightInd w:val="0"/>
              <w:snapToGrid w:val="0"/>
              <w:spacing w:line="0" w:lineRule="atLeast"/>
              <w:jc w:val="center"/>
              <w:rPr>
                <w:rFonts w:ascii="仿宋_GB2312" w:hAnsi="黑体" w:eastAsia="仿宋_GB2312" w:cs="黑体"/>
                <w:color w:val="000000" w:themeColor="text1"/>
                <w14:textFill>
                  <w14:solidFill>
                    <w14:schemeClr w14:val="tx1"/>
                  </w14:solidFill>
                </w14:textFill>
              </w:rPr>
            </w:pPr>
            <w:r>
              <w:rPr>
                <w:rFonts w:hint="eastAsia" w:ascii="仿宋_GB2312" w:hAnsi="黑体" w:eastAsia="仿宋_GB2312" w:cs="黑体"/>
              </w:rPr>
              <w:t>组织人事部</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rPr>
                <w:rFonts w:ascii="黑体" w:hAnsi="黑体" w:eastAsia="黑体" w:cs="黑体"/>
              </w:rPr>
            </w:pPr>
            <w:r>
              <w:rPr>
                <w:rFonts w:hint="eastAsia" w:ascii="仿宋_GB2312" w:eastAsia="仿宋_GB2312"/>
              </w:rPr>
              <w:t>提供超基本工作量课时费评定激励办法》、绩效工资方案及落实情况证明材料。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组织人事部</w:t>
            </w:r>
            <w:r>
              <w:rPr>
                <w:rFonts w:hint="eastAsia" w:ascii="仿宋_GB2312" w:hAnsi="黑体" w:eastAsia="仿宋_GB2312" w:cs="黑体"/>
                <w:vertAlign w:val="superscript"/>
              </w:rPr>
              <w:t>3</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rPr>
                <w:rFonts w:ascii="黑体" w:hAnsi="黑体" w:eastAsia="黑体" w:cs="黑体"/>
              </w:rPr>
            </w:pPr>
            <w:r>
              <w:rPr>
                <w:rFonts w:hint="eastAsia" w:ascii="仿宋_GB2312" w:hAnsi="黑体" w:eastAsia="仿宋_GB2312" w:cs="黑体"/>
                <w:color w:val="000000" w:themeColor="text1"/>
                <w14:textFill>
                  <w14:solidFill>
                    <w14:schemeClr w14:val="tx1"/>
                  </w14:solidFill>
                </w14:textFill>
              </w:rPr>
              <w:t>提供部门绩效考核的文件及指标体系。</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color w:val="000000" w:themeColor="text1"/>
                <w14:textFill>
                  <w14:solidFill>
                    <w14:schemeClr w14:val="tx1"/>
                  </w14:solidFill>
                </w14:textFill>
              </w:rPr>
              <w:t>教学督导室</w:t>
            </w:r>
            <w:r>
              <w:rPr>
                <w:rFonts w:hint="eastAsia" w:ascii="仿宋_GB2312" w:hAnsi="黑体" w:eastAsia="仿宋_GB2312" w:cs="黑体"/>
                <w:color w:val="000000" w:themeColor="text1"/>
                <w:vertAlign w:val="superscript"/>
                <w14:textFill>
                  <w14:solidFill>
                    <w14:schemeClr w14:val="tx1"/>
                  </w14:solidFill>
                </w14:textFill>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rPr>
                <w:rFonts w:ascii="仿宋_GB2312" w:eastAsia="仿宋_GB2312"/>
              </w:rPr>
            </w:pPr>
            <w:r>
              <w:rPr>
                <w:rFonts w:hint="eastAsia" w:ascii="仿宋_GB2312" w:eastAsia="仿宋_GB2312"/>
              </w:rPr>
              <w:t>提供实施办学质量考核的文件、任务分解表及自评报告。</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教学督导室</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3.狠抓双高建设</w:t>
            </w:r>
          </w:p>
        </w:tc>
        <w:tc>
          <w:tcPr>
            <w:tcW w:w="7761" w:type="dxa"/>
            <w:vAlign w:val="center"/>
          </w:tcPr>
          <w:p>
            <w:pPr>
              <w:adjustRightInd w:val="0"/>
              <w:snapToGrid w:val="0"/>
              <w:rPr>
                <w:rFonts w:ascii="仿宋_GB2312" w:eastAsia="仿宋_GB2312"/>
              </w:rPr>
            </w:pPr>
            <w:r>
              <w:rPr>
                <w:rFonts w:hint="eastAsia" w:ascii="仿宋_GB2312" w:eastAsia="仿宋_GB2312"/>
              </w:rPr>
              <w:t>全力抓好部省共建职教高地建设，推进高职32 个重点项目、18项重点任务和中职10项重点项目任务落实落地，全力争取省提质培优行动计划项目。</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教学督导室</w:t>
            </w:r>
            <w:r>
              <w:rPr>
                <w:rFonts w:hint="eastAsia" w:ascii="仿宋_GB2312" w:hAnsi="黑体" w:eastAsia="仿宋_GB2312" w:cs="黑体"/>
                <w:vertAlign w:val="superscript"/>
              </w:rPr>
              <w:t>3</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highlight w:val="yellow"/>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4.职称评审改革</w:t>
            </w: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优化绩效导向的职称评审办法，出台2020—2023职称工作政策。</w:t>
            </w:r>
          </w:p>
          <w:p>
            <w:pPr>
              <w:adjustRightInd w:val="0"/>
              <w:snapToGrid w:val="0"/>
              <w:spacing w:line="0" w:lineRule="atLeast"/>
              <w:rPr>
                <w:rFonts w:ascii="仿宋_GB2312" w:hAnsi="黑体" w:eastAsia="仿宋_GB2312"/>
              </w:rPr>
            </w:pPr>
            <w:r>
              <w:rPr>
                <w:rFonts w:hint="eastAsia" w:ascii="仿宋_GB2312" w:hAnsi="黑体" w:eastAsia="仿宋_GB2312"/>
              </w:rPr>
              <w:t>佐证材料：提供绩效导向的职称评审办法及相关支撑材料。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组织人事部</w:t>
            </w:r>
            <w:r>
              <w:rPr>
                <w:rFonts w:hint="eastAsia" w:ascii="仿宋_GB2312" w:hAnsi="黑体" w:eastAsia="仿宋_GB2312" w:cs="黑体"/>
                <w:vertAlign w:val="superscript"/>
              </w:rPr>
              <w:t>4</w:t>
            </w:r>
          </w:p>
        </w:tc>
        <w:tc>
          <w:tcPr>
            <w:tcW w:w="1845" w:type="dxa"/>
            <w:vMerge w:val="restart"/>
            <w:vAlign w:val="center"/>
          </w:tcPr>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pPr>
            <w:r>
              <w:rPr>
                <w:rFonts w:hint="eastAsia" w:ascii="仿宋_GB2312" w:hAnsi="黑体" w:eastAsia="仿宋_GB2312" w:cs="黑体"/>
              </w:rPr>
              <w:t>落实到位、措施得力、成效明显的，为“好”；落实比较到位、措施比较得力、成效比较明显的，为“较好”；落实不到位、措施不得力、成效不明显的，为“差”。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99" w:type="dxa"/>
            <w:vMerge w:val="restart"/>
            <w:vAlign w:val="center"/>
          </w:tcPr>
          <w:p>
            <w:pPr>
              <w:adjustRightInd w:val="0"/>
              <w:snapToGrid w:val="0"/>
              <w:spacing w:line="0" w:lineRule="atLeast"/>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numPr>
                <w:ilvl w:val="0"/>
                <w:numId w:val="2"/>
              </w:numPr>
              <w:adjustRightInd w:val="0"/>
              <w:snapToGrid w:val="0"/>
              <w:spacing w:line="0" w:lineRule="atLeast"/>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坚持诊改抓手，提升人才培养质量</w:t>
            </w:r>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pStyle w:val="2"/>
            </w:pPr>
          </w:p>
          <w:p>
            <w:pPr>
              <w:pStyle w:val="2"/>
              <w:rPr>
                <w:rFonts w:asciiTheme="minorEastAsia" w:hAnsiTheme="minorEastAsia" w:eastAsiaTheme="minorEastAsia" w:cstheme="minorEastAsia"/>
                <w:bCs/>
                <w:sz w:val="24"/>
              </w:rPr>
            </w:pPr>
          </w:p>
          <w:p>
            <w:r>
              <w:rPr>
                <w:rFonts w:hint="eastAsia"/>
              </w:rPr>
              <w:t>二、坚持诊改抓手，提升人才培养质量（续）</w:t>
            </w:r>
          </w:p>
          <w:p>
            <w:pPr>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highlight w:val="yellow"/>
              </w:rPr>
            </w:pP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color w:val="auto"/>
              </w:rPr>
            </w:pPr>
          </w:p>
          <w:p>
            <w:pPr>
              <w:adjustRightInd w:val="0"/>
              <w:snapToGrid w:val="0"/>
              <w:spacing w:line="0" w:lineRule="atLeast"/>
              <w:jc w:val="center"/>
              <w:rPr>
                <w:rFonts w:asciiTheme="minorEastAsia" w:hAnsiTheme="minorEastAsia" w:eastAsiaTheme="minorEastAsia" w:cstheme="minorEastAsia"/>
                <w:bCs/>
                <w:color w:val="auto"/>
                <w:highlight w:val="yellow"/>
              </w:rPr>
            </w:pPr>
            <w:r>
              <w:rPr>
                <w:rFonts w:hint="eastAsia" w:asciiTheme="minorEastAsia" w:hAnsiTheme="minorEastAsia" w:eastAsiaTheme="minorEastAsia" w:cstheme="minorEastAsia"/>
                <w:bCs/>
                <w:color w:val="auto"/>
              </w:rPr>
              <w:t>5.</w:t>
            </w:r>
            <w:r>
              <w:rPr>
                <w:rFonts w:hint="eastAsia" w:asciiTheme="minorEastAsia" w:hAnsiTheme="minorEastAsia" w:eastAsiaTheme="minorEastAsia" w:cstheme="minorEastAsia"/>
                <w:bCs/>
                <w:color w:val="auto"/>
                <w:lang w:val="en-US" w:eastAsia="zh-CN"/>
              </w:rPr>
              <w:t>加</w:t>
            </w:r>
            <w:r>
              <w:rPr>
                <w:rFonts w:hint="eastAsia" w:asciiTheme="minorEastAsia" w:hAnsiTheme="minorEastAsia" w:eastAsiaTheme="minorEastAsia" w:cstheme="minorEastAsia"/>
                <w:bCs/>
                <w:color w:val="auto"/>
              </w:rPr>
              <w:t>强内部质量保障体系</w:t>
            </w:r>
          </w:p>
        </w:tc>
        <w:tc>
          <w:tcPr>
            <w:tcW w:w="7761" w:type="dxa"/>
            <w:vAlign w:val="center"/>
          </w:tcPr>
          <w:p>
            <w:pPr>
              <w:adjustRightInd w:val="0"/>
              <w:snapToGrid w:val="0"/>
              <w:spacing w:line="0" w:lineRule="atLeast"/>
              <w:rPr>
                <w:rFonts w:hint="eastAsia" w:ascii="仿宋_GB2312" w:hAnsi="黑体" w:eastAsia="仿宋_GB2312" w:cs="黑体"/>
                <w:color w:val="auto"/>
                <w:lang w:eastAsia="zh-CN"/>
              </w:rPr>
            </w:pPr>
            <w:r>
              <w:rPr>
                <w:rFonts w:hint="eastAsia" w:ascii="仿宋_GB2312" w:eastAsia="仿宋_GB2312"/>
                <w:color w:val="auto"/>
              </w:rPr>
              <w:t>提供</w:t>
            </w:r>
            <w:r>
              <w:rPr>
                <w:rFonts w:hint="eastAsia" w:ascii="仿宋_GB2312" w:hAnsi="黑体" w:eastAsia="仿宋_GB2312"/>
                <w:color w:val="auto"/>
              </w:rPr>
              <w:t>十四五规划编制方案、编制建议、相关文本</w:t>
            </w:r>
            <w:r>
              <w:rPr>
                <w:rFonts w:hint="eastAsia" w:ascii="仿宋_GB2312" w:hAnsi="黑体" w:eastAsia="仿宋_GB2312"/>
                <w:color w:val="auto"/>
                <w:lang w:eastAsia="zh-CN"/>
              </w:rPr>
              <w:t>。</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办公室</w:t>
            </w:r>
            <w:r>
              <w:rPr>
                <w:rFonts w:hint="eastAsia" w:ascii="仿宋_GB2312" w:hAnsi="黑体" w:eastAsia="仿宋_GB2312" w:cs="黑体"/>
                <w:vertAlign w:val="superscript"/>
              </w:rPr>
              <w:t>2</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组织人事部</w:t>
            </w:r>
            <w:r>
              <w:rPr>
                <w:rFonts w:hint="eastAsia" w:ascii="仿宋_GB2312" w:hAnsi="黑体" w:eastAsia="仿宋_GB2312" w:cs="黑体"/>
                <w:vertAlign w:val="superscript"/>
              </w:rPr>
              <w:t>5</w:t>
            </w:r>
          </w:p>
        </w:tc>
        <w:tc>
          <w:tcPr>
            <w:tcW w:w="1845" w:type="dxa"/>
            <w:vMerge w:val="continue"/>
            <w:vAlign w:val="center"/>
          </w:tcPr>
          <w:p>
            <w:pPr>
              <w:adjustRightInd w:val="0"/>
              <w:snapToGrid w:val="0"/>
              <w:spacing w:line="0" w:lineRule="atLeast"/>
              <w:jc w:val="center"/>
              <w:rPr>
                <w:rFonts w:ascii="仿宋_GB2312" w:hAnsi="黑体" w:eastAsia="仿宋_GB2312" w:cs="黑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color w:val="auto"/>
              </w:rPr>
            </w:pPr>
          </w:p>
        </w:tc>
        <w:tc>
          <w:tcPr>
            <w:tcW w:w="7761" w:type="dxa"/>
            <w:vAlign w:val="center"/>
          </w:tcPr>
          <w:p>
            <w:pPr>
              <w:adjustRightInd w:val="0"/>
              <w:snapToGrid w:val="0"/>
              <w:spacing w:line="0" w:lineRule="atLeast"/>
              <w:rPr>
                <w:rFonts w:ascii="仿宋_GB2312" w:eastAsia="仿宋_GB2312"/>
                <w:color w:val="auto"/>
              </w:rPr>
            </w:pPr>
            <w:r>
              <w:rPr>
                <w:rFonts w:hint="eastAsia" w:ascii="仿宋_GB2312" w:hAnsi="黑体" w:eastAsia="仿宋_GB2312"/>
                <w:color w:val="auto"/>
              </w:rPr>
              <w:t>提供部门职责、岗位职责、工作流程的相关支撑材料。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组织人事部</w:t>
            </w:r>
            <w:r>
              <w:rPr>
                <w:rFonts w:hint="eastAsia" w:ascii="仿宋_GB2312" w:hAnsi="黑体" w:eastAsia="仿宋_GB2312" w:cs="黑体"/>
                <w:vertAlign w:val="superscript"/>
              </w:rPr>
              <w:t>6</w:t>
            </w:r>
          </w:p>
        </w:tc>
        <w:tc>
          <w:tcPr>
            <w:tcW w:w="1845" w:type="dxa"/>
            <w:vMerge w:val="continue"/>
            <w:vAlign w:val="center"/>
          </w:tcPr>
          <w:p>
            <w:pPr>
              <w:adjustRightInd w:val="0"/>
              <w:snapToGrid w:val="0"/>
              <w:spacing w:line="0" w:lineRule="atLeast"/>
              <w:jc w:val="center"/>
              <w:rPr>
                <w:rFonts w:ascii="仿宋_GB2312" w:hAnsi="黑体" w:eastAsia="仿宋_GB2312" w:cs="黑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color w:val="auto"/>
                <w:highlight w:val="yellow"/>
              </w:rPr>
            </w:pPr>
          </w:p>
        </w:tc>
        <w:tc>
          <w:tcPr>
            <w:tcW w:w="7761" w:type="dxa"/>
            <w:vAlign w:val="center"/>
          </w:tcPr>
          <w:p>
            <w:pPr>
              <w:adjustRightInd w:val="0"/>
              <w:snapToGrid w:val="0"/>
              <w:spacing w:line="0" w:lineRule="atLeast"/>
              <w:rPr>
                <w:rFonts w:ascii="仿宋_GB2312" w:eastAsia="仿宋_GB2312"/>
                <w:color w:val="auto"/>
                <w:highlight w:val="yellow"/>
              </w:rPr>
            </w:pPr>
            <w:r>
              <w:rPr>
                <w:rFonts w:hint="eastAsia" w:ascii="仿宋_GB2312" w:eastAsia="仿宋_GB2312"/>
                <w:color w:val="auto"/>
              </w:rPr>
              <w:t>提供质量管理平台招标材料及完善内部保障体系的相关证明材料。提供内部保障体系发展规划文本。</w:t>
            </w:r>
          </w:p>
        </w:tc>
        <w:tc>
          <w:tcPr>
            <w:tcW w:w="1673" w:type="dxa"/>
            <w:vAlign w:val="center"/>
          </w:tcPr>
          <w:p>
            <w:pPr>
              <w:adjustRightInd w:val="0"/>
              <w:snapToGrid w:val="0"/>
              <w:spacing w:line="0" w:lineRule="atLeast"/>
              <w:jc w:val="center"/>
              <w:rPr>
                <w:rFonts w:ascii="仿宋_GB2312" w:hAnsi="黑体" w:eastAsia="仿宋_GB2312" w:cs="黑体"/>
                <w:highlight w:val="yellow"/>
              </w:rPr>
            </w:pPr>
            <w:r>
              <w:rPr>
                <w:rFonts w:hint="eastAsia" w:ascii="仿宋_GB2312" w:hAnsi="黑体" w:eastAsia="仿宋_GB2312" w:cs="黑体"/>
              </w:rPr>
              <w:t>教学督导室</w:t>
            </w:r>
            <w:r>
              <w:rPr>
                <w:rFonts w:hint="eastAsia" w:ascii="仿宋_GB2312" w:hAnsi="黑体" w:eastAsia="仿宋_GB2312" w:cs="黑体"/>
                <w:vertAlign w:val="superscript"/>
              </w:rPr>
              <w:t>4</w:t>
            </w:r>
          </w:p>
        </w:tc>
        <w:tc>
          <w:tcPr>
            <w:tcW w:w="1845" w:type="dxa"/>
            <w:vMerge w:val="continue"/>
            <w:vAlign w:val="center"/>
          </w:tcPr>
          <w:p>
            <w:pPr>
              <w:adjustRightInd w:val="0"/>
              <w:snapToGrid w:val="0"/>
              <w:spacing w:line="0" w:lineRule="atLeast"/>
              <w:jc w:val="center"/>
              <w:rPr>
                <w:rFonts w:ascii="仿宋_GB2312" w:hAnsi="黑体" w:eastAsia="仿宋_GB2312" w:cs="黑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numPr>
                <w:ilvl w:val="0"/>
                <w:numId w:val="0"/>
              </w:numPr>
              <w:adjustRightInd w:val="0"/>
              <w:snapToGrid w:val="0"/>
              <w:spacing w:line="0" w:lineRule="atLeast"/>
              <w:jc w:val="center"/>
              <w:rPr>
                <w:rFonts w:hint="eastAsia" w:asciiTheme="minorEastAsia" w:hAnsiTheme="minorEastAsia" w:eastAsiaTheme="minorEastAsia" w:cstheme="minorEastAsia"/>
                <w:bCs/>
              </w:rPr>
            </w:pPr>
            <w:r>
              <w:rPr>
                <w:rFonts w:hint="eastAsia" w:asciiTheme="minorEastAsia" w:hAnsiTheme="minorEastAsia" w:cstheme="minorEastAsia"/>
                <w:bCs/>
                <w:lang w:val="en-US" w:eastAsia="zh-CN"/>
              </w:rPr>
              <w:t>6.</w:t>
            </w:r>
            <w:r>
              <w:rPr>
                <w:rFonts w:hint="eastAsia" w:asciiTheme="minorEastAsia" w:hAnsiTheme="minorEastAsia" w:eastAsiaTheme="minorEastAsia" w:cstheme="minorEastAsia"/>
                <w:bCs/>
              </w:rPr>
              <w:t>做好专业群</w:t>
            </w:r>
          </w:p>
          <w:p>
            <w:pPr>
              <w:numPr>
                <w:ilvl w:val="0"/>
                <w:numId w:val="0"/>
              </w:num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考核</w:t>
            </w: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提供《专业发展水平年度考核实施方案及相关证明材料。推进省品牌专业群建设，抓好高水平专业（群）建设工作。落实分级管理、分级评估的佐证材料。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教务处</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restart"/>
          </w:tcPr>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7.深化教学改革</w:t>
            </w:r>
          </w:p>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rPr>
                <w:rFonts w:asciiTheme="minorEastAsia" w:hAnsiTheme="minorEastAsia" w:eastAsiaTheme="minorEastAsia" w:cstheme="minorEastAsia"/>
                <w:bCs/>
              </w:rPr>
            </w:pPr>
          </w:p>
          <w:p>
            <w:pPr>
              <w:pStyle w:val="2"/>
            </w:pPr>
          </w:p>
          <w:p/>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7.深化教学改革（续）</w:t>
            </w:r>
          </w:p>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提供专业申报材料、专业建设发展规划、“三二连读”贯通专业人才培养方案。提供混合所有制、现代学徒制试点专业，提高专业结构与产业结构的吻合度的佐证材料。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教务处</w:t>
            </w:r>
            <w:r>
              <w:rPr>
                <w:rFonts w:hint="eastAsia" w:ascii="仿宋_GB2312" w:hAnsi="黑体" w:eastAsia="仿宋_GB2312" w:cs="黑体"/>
                <w:vertAlign w:val="superscript"/>
              </w:rPr>
              <w:t>3</w:t>
            </w:r>
          </w:p>
          <w:p>
            <w:pPr>
              <w:adjustRightInd w:val="0"/>
              <w:snapToGrid w:val="0"/>
              <w:spacing w:line="0" w:lineRule="atLeast"/>
              <w:jc w:val="center"/>
              <w:rPr>
                <w:rFonts w:ascii="仿宋_GB2312" w:hAnsi="黑体" w:eastAsia="仿宋_GB2312" w:cs="黑体"/>
              </w:rPr>
            </w:pP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坚持做好1+X证书试点项目申报，扩大专业覆盖面，积极开展13个试点项目职业技能等级证书培训，做好“1”和“X”的有机衔接，拓展就业创业本领。申报1+X证书试点项目5个。</w:t>
            </w:r>
          </w:p>
          <w:p>
            <w:pPr>
              <w:adjustRightInd w:val="0"/>
              <w:snapToGrid w:val="0"/>
              <w:spacing w:line="0" w:lineRule="atLeast"/>
              <w:rPr>
                <w:rFonts w:ascii="仿宋_GB2312" w:eastAsia="仿宋_GB2312"/>
              </w:rPr>
            </w:pPr>
            <w:r>
              <w:rPr>
                <w:rFonts w:hint="eastAsia" w:ascii="仿宋_GB2312" w:eastAsia="仿宋_GB2312"/>
              </w:rPr>
              <w:t>提供1+X证书试点项目支撑材料和学生获证名单及扫描件。</w:t>
            </w:r>
          </w:p>
        </w:tc>
        <w:tc>
          <w:tcPr>
            <w:tcW w:w="1673" w:type="dxa"/>
            <w:vAlign w:val="center"/>
          </w:tcPr>
          <w:p>
            <w:pPr>
              <w:adjustRightInd w:val="0"/>
              <w:snapToGrid w:val="0"/>
              <w:spacing w:line="0" w:lineRule="atLeast"/>
              <w:jc w:val="center"/>
              <w:rPr>
                <w:rFonts w:ascii="仿宋_GB2312" w:hAnsi="黑体" w:eastAsia="仿宋_GB2312" w:cs="黑体"/>
                <w:vertAlign w:val="superscript"/>
              </w:rPr>
            </w:pPr>
            <w:r>
              <w:rPr>
                <w:rFonts w:hint="eastAsia" w:ascii="仿宋_GB2312" w:hAnsi="黑体" w:eastAsia="仿宋_GB2312" w:cs="黑体"/>
              </w:rPr>
              <w:t>教务处</w:t>
            </w:r>
            <w:r>
              <w:rPr>
                <w:rFonts w:hint="eastAsia" w:ascii="仿宋_GB2312" w:hAnsi="黑体" w:eastAsia="仿宋_GB2312" w:cs="黑体"/>
                <w:vertAlign w:val="superscript"/>
              </w:rPr>
              <w:t>4</w:t>
            </w:r>
          </w:p>
          <w:p>
            <w:pPr>
              <w:adjustRightInd w:val="0"/>
              <w:snapToGrid w:val="0"/>
              <w:spacing w:line="0" w:lineRule="atLeast"/>
              <w:jc w:val="center"/>
              <w:rPr>
                <w:rFonts w:ascii="仿宋_GB2312" w:hAnsi="黑体" w:eastAsia="仿宋_GB2312" w:cs="黑体"/>
              </w:rPr>
            </w:pP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0" w:lineRule="atLeast"/>
              <w:rPr>
                <w:rFonts w:ascii="黑体" w:hAnsi="黑体" w:eastAsia="黑体" w:cs="黑体"/>
              </w:rPr>
            </w:pPr>
            <w:r>
              <w:rPr>
                <w:rFonts w:hint="eastAsia" w:ascii="仿宋_GB2312" w:eastAsia="仿宋_GB2312"/>
              </w:rPr>
              <w:t>建设教学资源共建共享平台，推行公共课优质教学资源共建共享，抓好精品资源共享课和在线开放课程建设。（立项省精品资源共享课程3门，立项建设国家在线开放课程培育项目10个。）</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教务处</w:t>
            </w:r>
            <w:r>
              <w:rPr>
                <w:rFonts w:hint="eastAsia" w:ascii="仿宋_GB2312" w:hAnsi="黑体" w:eastAsia="仿宋_GB2312" w:cs="黑体"/>
                <w:vertAlign w:val="superscript"/>
              </w:rPr>
              <w:t>5</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0" w:lineRule="atLeast"/>
              <w:rPr>
                <w:rFonts w:hint="eastAsia" w:ascii="仿宋_GB2312" w:eastAsia="仿宋_GB2312"/>
                <w:lang w:eastAsia="zh-CN"/>
              </w:rPr>
            </w:pPr>
            <w:r>
              <w:rPr>
                <w:rFonts w:hint="eastAsia" w:ascii="仿宋_GB2312" w:eastAsia="仿宋_GB2312"/>
                <w:color w:val="auto"/>
              </w:rPr>
              <w:t>提供推进“三教“改革、“对分课堂”的办法、措施、典型案例，校企合作开发课程、教材数量、名单及相关佐证材料。新型活页式、工作手册式教材</w:t>
            </w:r>
            <w:r>
              <w:rPr>
                <w:rFonts w:hint="eastAsia" w:ascii="仿宋_GB2312" w:eastAsia="仿宋_GB2312"/>
                <w:color w:val="auto"/>
                <w:lang w:eastAsia="zh-CN"/>
              </w:rPr>
              <w:t>。</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教务处</w:t>
            </w:r>
            <w:r>
              <w:rPr>
                <w:rFonts w:hint="eastAsia" w:ascii="仿宋_GB2312" w:hAnsi="黑体" w:eastAsia="仿宋_GB2312" w:cs="黑体"/>
                <w:vertAlign w:val="superscript"/>
              </w:rPr>
              <w:t>6</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积极参与“山东省学分银行”建设，推动“学分制”改革创新。改革学籍管理，试点建立个人学习账号，实现学习成果可追溯、可查询、可转换。</w:t>
            </w:r>
          </w:p>
          <w:p>
            <w:pPr>
              <w:adjustRightInd w:val="0"/>
              <w:snapToGrid w:val="0"/>
              <w:spacing w:line="0" w:lineRule="atLeast"/>
              <w:rPr>
                <w:rFonts w:ascii="仿宋_GB2312" w:eastAsia="仿宋_GB2312"/>
                <w:b/>
                <w:bCs/>
              </w:rPr>
            </w:pPr>
            <w:r>
              <w:rPr>
                <w:rFonts w:hint="eastAsia" w:ascii="仿宋_GB2312" w:eastAsia="仿宋_GB2312"/>
              </w:rPr>
              <w:t>提供推进学分制改革的证明材料；提供学籍管理的支撑材料，学习账号名单。</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教务处</w:t>
            </w:r>
            <w:r>
              <w:rPr>
                <w:rFonts w:hint="eastAsia" w:ascii="仿宋_GB2312" w:hAnsi="黑体" w:eastAsia="仿宋_GB2312" w:cs="黑体"/>
                <w:vertAlign w:val="superscript"/>
              </w:rPr>
              <w:t>7</w:t>
            </w:r>
          </w:p>
        </w:tc>
        <w:tc>
          <w:tcPr>
            <w:tcW w:w="1845" w:type="dxa"/>
            <w:vMerge w:val="restart"/>
            <w:vAlign w:val="center"/>
          </w:tcPr>
          <w:p>
            <w:pPr>
              <w:adjustRightInd w:val="0"/>
              <w:snapToGrid w:val="0"/>
              <w:spacing w:line="0" w:lineRule="atLeast"/>
              <w:jc w:val="left"/>
              <w:rPr>
                <w:rFonts w:ascii="仿宋_GB2312" w:hAnsi="黑体" w:eastAsia="仿宋_GB2312" w:cs="黑体"/>
              </w:rPr>
            </w:pPr>
            <w:r>
              <w:rPr>
                <w:rFonts w:hint="eastAsia" w:ascii="仿宋_GB2312" w:hAnsi="黑体" w:eastAsia="仿宋_GB2312" w:cs="黑体"/>
              </w:rPr>
              <w:t>落实到位、措施得力、成效明显的，为“好”；落实比较到位、措施比较得力、成效比较明显的，为“较好”；落实不到位、措施不得力、成效不明显的，为“差”。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8.加强教科研</w:t>
            </w:r>
          </w:p>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工作</w:t>
            </w: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立项教科研课题30项，申报成果奖励20项。提供立项、结题、获奖教科研项目统计表。</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教务处</w:t>
            </w:r>
            <w:r>
              <w:rPr>
                <w:rFonts w:hint="eastAsia" w:ascii="仿宋_GB2312" w:hAnsi="黑体" w:eastAsia="仿宋_GB2312" w:cs="黑体"/>
                <w:vertAlign w:val="superscript"/>
              </w:rPr>
              <w:t>8</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9.加强实训基地建设</w:t>
            </w: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建立实训室使用率绩效考核办法，抓好实训基地开放共享管理，强化实训过程管理和考核评价，提高实训设备利用率。</w:t>
            </w:r>
            <w:r>
              <w:rPr>
                <w:rFonts w:hint="eastAsia" w:ascii="黑体" w:hAnsi="黑体" w:eastAsia="黑体" w:cs="黑体"/>
              </w:rPr>
              <w:t xml:space="preserve"> </w:t>
            </w:r>
          </w:p>
          <w:p>
            <w:pPr>
              <w:widowControl w:val="0"/>
              <w:adjustRightInd w:val="0"/>
              <w:snapToGrid w:val="0"/>
              <w:spacing w:line="0" w:lineRule="atLeast"/>
              <w:jc w:val="both"/>
              <w:rPr>
                <w:rFonts w:ascii="仿宋_GB2312" w:eastAsia="仿宋_GB2312"/>
              </w:rPr>
            </w:pPr>
            <w:r>
              <w:rPr>
                <w:rFonts w:hint="eastAsia" w:ascii="仿宋_GB2312" w:eastAsia="仿宋_GB2312"/>
              </w:rPr>
              <w:t>提供生均实践场所数（平方米/生）。提供实训基地建设规划及相关佐证材料。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实验实训</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中心</w:t>
            </w:r>
            <w:r>
              <w:rPr>
                <w:rFonts w:hint="eastAsia"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299" w:type="dxa"/>
            <w:vMerge w:val="restart"/>
            <w:vAlign w:val="center"/>
          </w:tcPr>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三、加强队伍建设，提升师资水平</w:t>
            </w:r>
          </w:p>
          <w:p>
            <w:pPr>
              <w:adjustRightInd w:val="0"/>
              <w:snapToGrid w:val="0"/>
              <w:spacing w:line="0" w:lineRule="atLeast"/>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adjustRightInd w:val="0"/>
              <w:snapToGrid w:val="0"/>
              <w:spacing w:line="0" w:lineRule="atLeast"/>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三、加强队伍建设，提升师资水平（续）</w:t>
            </w:r>
          </w:p>
          <w:p>
            <w:pPr>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10.人才引进外聘</w:t>
            </w:r>
          </w:p>
        </w:tc>
        <w:tc>
          <w:tcPr>
            <w:tcW w:w="7761" w:type="dxa"/>
            <w:tcBorders>
              <w:top w:val="nil"/>
            </w:tcBorders>
            <w:vAlign w:val="center"/>
          </w:tcPr>
          <w:p>
            <w:pPr>
              <w:adjustRightInd w:val="0"/>
              <w:snapToGrid w:val="0"/>
              <w:spacing w:line="0" w:lineRule="atLeast"/>
              <w:rPr>
                <w:rFonts w:ascii="仿宋_GB2312" w:eastAsia="仿宋_GB2312"/>
              </w:rPr>
            </w:pPr>
            <w:r>
              <w:rPr>
                <w:rFonts w:hint="eastAsia" w:ascii="仿宋_GB2312" w:eastAsia="仿宋_GB2312"/>
              </w:rPr>
              <w:t>按要求改革教师招聘工作，做好20名急需专业教师招聘、完成25名紧缺专业技术人员引进工作。引进国家级柔性人才3名以上。</w:t>
            </w:r>
          </w:p>
          <w:p>
            <w:pPr>
              <w:widowControl w:val="0"/>
              <w:adjustRightInd w:val="0"/>
              <w:snapToGrid w:val="0"/>
              <w:spacing w:line="0" w:lineRule="atLeast"/>
              <w:jc w:val="both"/>
              <w:rPr>
                <w:rFonts w:ascii="仿宋_GB2312" w:eastAsia="仿宋_GB2312"/>
              </w:rPr>
            </w:pPr>
            <w:r>
              <w:rPr>
                <w:rFonts w:hint="eastAsia" w:ascii="仿宋_GB2312" w:eastAsia="仿宋_GB2312"/>
              </w:rPr>
              <w:t>佐证材料：</w:t>
            </w: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 1 \* GB3</w:instrText>
            </w:r>
            <w:r>
              <w:rPr>
                <w:rFonts w:ascii="仿宋_GB2312" w:eastAsia="仿宋_GB2312"/>
              </w:rPr>
              <w:instrText xml:space="preserve"> </w:instrText>
            </w:r>
            <w:r>
              <w:rPr>
                <w:rFonts w:ascii="仿宋_GB2312" w:eastAsia="仿宋_GB2312"/>
              </w:rPr>
              <w:fldChar w:fldCharType="separate"/>
            </w:r>
            <w:r>
              <w:rPr>
                <w:rFonts w:hint="eastAsia" w:ascii="仿宋_GB2312" w:eastAsia="仿宋_GB2312"/>
              </w:rPr>
              <w:t>①</w:t>
            </w:r>
            <w:r>
              <w:rPr>
                <w:rFonts w:ascii="仿宋_GB2312" w:eastAsia="仿宋_GB2312"/>
              </w:rPr>
              <w:fldChar w:fldCharType="end"/>
            </w:r>
            <w:r>
              <w:rPr>
                <w:rFonts w:hint="eastAsia" w:ascii="仿宋_GB2312" w:eastAsia="仿宋_GB2312"/>
              </w:rPr>
              <w:t>提供当年招聘方案、招聘人员名单。</w:t>
            </w: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 2 \* GB3</w:instrText>
            </w:r>
            <w:r>
              <w:rPr>
                <w:rFonts w:ascii="仿宋_GB2312" w:eastAsia="仿宋_GB2312"/>
              </w:rPr>
              <w:instrText xml:space="preserve"> </w:instrText>
            </w:r>
            <w:r>
              <w:rPr>
                <w:rFonts w:ascii="仿宋_GB2312" w:eastAsia="仿宋_GB2312"/>
              </w:rPr>
              <w:fldChar w:fldCharType="separate"/>
            </w:r>
            <w:r>
              <w:rPr>
                <w:rFonts w:hint="eastAsia" w:ascii="仿宋_GB2312" w:eastAsia="仿宋_GB2312"/>
              </w:rPr>
              <w:t>②</w:t>
            </w:r>
            <w:r>
              <w:rPr>
                <w:rFonts w:ascii="仿宋_GB2312" w:eastAsia="仿宋_GB2312"/>
              </w:rPr>
              <w:fldChar w:fldCharType="end"/>
            </w:r>
            <w:r>
              <w:rPr>
                <w:rFonts w:hint="eastAsia" w:ascii="仿宋_GB2312" w:eastAsia="仿宋_GB2312"/>
              </w:rPr>
              <w:t>提供引进国家级柔性人才名单。</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组织人事部</w:t>
            </w:r>
            <w:r>
              <w:rPr>
                <w:rFonts w:hint="eastAsia" w:ascii="仿宋_GB2312" w:hAnsi="黑体" w:eastAsia="仿宋_GB2312" w:cs="黑体"/>
                <w:vertAlign w:val="superscript"/>
              </w:rPr>
              <w:t>7</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11.技术技能人才聘用</w:t>
            </w: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加强兼职教师管理，建立兼职教师资源库。加强与特聘兼职客座教授团队联系合作，开展交流活动50人次以上，支持教师融入特聘教授、兼职客座教授研发团队、课题项目和企业组织。</w:t>
            </w:r>
          </w:p>
          <w:p>
            <w:pPr>
              <w:widowControl w:val="0"/>
              <w:adjustRightInd w:val="0"/>
              <w:snapToGrid w:val="0"/>
              <w:spacing w:line="0" w:lineRule="atLeast"/>
              <w:jc w:val="both"/>
              <w:rPr>
                <w:rFonts w:ascii="仿宋_GB2312" w:eastAsia="仿宋_GB2312"/>
              </w:rPr>
            </w:pPr>
            <w:r>
              <w:rPr>
                <w:rFonts w:hint="eastAsia" w:ascii="仿宋_GB2312" w:eastAsia="仿宋_GB2312"/>
              </w:rPr>
              <w:t>提供首席技师等高层次技术技能人才聘用数及名单。提供兼职教师管理办法及相关佐证材料。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组织人事部</w:t>
            </w:r>
            <w:r>
              <w:rPr>
                <w:rFonts w:hint="eastAsia" w:ascii="仿宋_GB2312" w:hAnsi="黑体" w:eastAsia="仿宋_GB2312" w:cs="黑体"/>
                <w:vertAlign w:val="superscript"/>
              </w:rPr>
              <w:t>8</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12.双师型教师</w:t>
            </w:r>
          </w:p>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培养</w:t>
            </w:r>
          </w:p>
        </w:tc>
        <w:tc>
          <w:tcPr>
            <w:tcW w:w="7761" w:type="dxa"/>
            <w:vAlign w:val="center"/>
          </w:tcPr>
          <w:p>
            <w:pPr>
              <w:adjustRightInd w:val="0"/>
              <w:snapToGrid w:val="0"/>
              <w:spacing w:line="0" w:lineRule="atLeast"/>
              <w:rPr>
                <w:rFonts w:ascii="仿宋_GB2312" w:eastAsia="仿宋_GB2312"/>
                <w:b/>
                <w:bCs/>
              </w:rPr>
            </w:pPr>
            <w:r>
              <w:rPr>
                <w:rFonts w:hint="eastAsia" w:ascii="仿宋_GB2312" w:eastAsia="仿宋_GB2312"/>
              </w:rPr>
              <w:t>加强“双师型”教师建设，落实“双师”教师每年至少1个月在企业或实训基地实践锻炼，建立“双师”教师5年一周期的全员轮训制度。提供“双师型”教师管理办法、名单及佐证材料，“双师型”教师占比。</w:t>
            </w:r>
          </w:p>
        </w:tc>
        <w:tc>
          <w:tcPr>
            <w:tcW w:w="1673" w:type="dxa"/>
            <w:vAlign w:val="center"/>
          </w:tcPr>
          <w:p>
            <w:pPr>
              <w:adjustRightInd w:val="0"/>
              <w:snapToGrid w:val="0"/>
              <w:spacing w:line="0" w:lineRule="atLeast"/>
              <w:jc w:val="center"/>
              <w:rPr>
                <w:rFonts w:eastAsia="仿宋_GB2312"/>
              </w:rPr>
            </w:pPr>
            <w:r>
              <w:rPr>
                <w:rFonts w:hint="eastAsia" w:ascii="仿宋_GB2312" w:hAnsi="黑体" w:eastAsia="仿宋_GB2312" w:cs="黑体"/>
              </w:rPr>
              <w:t>组织人事部</w:t>
            </w:r>
            <w:r>
              <w:rPr>
                <w:rFonts w:hint="eastAsia" w:ascii="仿宋_GB2312" w:hAnsi="黑体" w:eastAsia="仿宋_GB2312" w:cs="黑体"/>
                <w:vertAlign w:val="superscript"/>
              </w:rPr>
              <w:t>9</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13.名师培养工程</w:t>
            </w:r>
          </w:p>
        </w:tc>
        <w:tc>
          <w:tcPr>
            <w:tcW w:w="7761" w:type="dxa"/>
            <w:vAlign w:val="center"/>
          </w:tcPr>
          <w:p>
            <w:pPr>
              <w:adjustRightInd w:val="0"/>
              <w:snapToGrid w:val="0"/>
              <w:spacing w:line="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培育省级教学名师1人、省级教学团队2个（中职1个）、省级青年技能名师2个。</w:t>
            </w:r>
          </w:p>
          <w:p>
            <w:pPr>
              <w:adjustRightInd w:val="0"/>
              <w:snapToGrid w:val="0"/>
              <w:spacing w:line="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提供当年省级及以上教师教学创新团队、青创人才团队、技能大师工作室数量；省级及以上教学名师（含青年技能名师、名师工作室主持人、技艺技能传承创新平台主持人）名单及相关支撑材料。</w:t>
            </w:r>
          </w:p>
        </w:tc>
        <w:tc>
          <w:tcPr>
            <w:tcW w:w="1673" w:type="dxa"/>
            <w:vAlign w:val="center"/>
          </w:tcPr>
          <w:p>
            <w:pPr>
              <w:adjustRightInd w:val="0"/>
              <w:snapToGrid w:val="0"/>
              <w:spacing w:line="0" w:lineRule="atLeast"/>
              <w:jc w:val="center"/>
              <w:rPr>
                <w:rFonts w:ascii="仿宋_GB2312" w:hAnsi="黑体" w:eastAsia="仿宋_GB2312" w:cs="黑体"/>
                <w:color w:val="000000" w:themeColor="text1"/>
                <w14:textFill>
                  <w14:solidFill>
                    <w14:schemeClr w14:val="tx1"/>
                  </w14:solidFill>
                </w14:textFill>
              </w:rPr>
            </w:pPr>
            <w:r>
              <w:rPr>
                <w:rFonts w:hint="eastAsia" w:ascii="仿宋_GB2312" w:hAnsi="黑体" w:eastAsia="仿宋_GB2312" w:cs="黑体"/>
                <w:color w:val="000000" w:themeColor="text1"/>
                <w14:textFill>
                  <w14:solidFill>
                    <w14:schemeClr w14:val="tx1"/>
                  </w14:solidFill>
                </w14:textFill>
              </w:rPr>
              <w:t>组织人事部</w:t>
            </w:r>
            <w:r>
              <w:rPr>
                <w:rFonts w:hint="eastAsia" w:ascii="仿宋_GB2312" w:hAnsi="黑体" w:eastAsia="仿宋_GB2312" w:cs="黑体"/>
                <w:color w:val="000000" w:themeColor="text1"/>
                <w:vertAlign w:val="superscript"/>
                <w14:textFill>
                  <w14:solidFill>
                    <w14:schemeClr w14:val="tx1"/>
                  </w14:solidFill>
                </w14:textFill>
              </w:rPr>
              <w:t>10</w:t>
            </w:r>
          </w:p>
        </w:tc>
        <w:tc>
          <w:tcPr>
            <w:tcW w:w="1845" w:type="dxa"/>
            <w:vMerge w:val="restart"/>
            <w:vAlign w:val="center"/>
          </w:tcPr>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ascii="仿宋_GB2312" w:hAnsi="黑体" w:eastAsia="仿宋_GB2312" w:cs="黑体"/>
              </w:rPr>
            </w:pPr>
            <w:r>
              <w:rPr>
                <w:rFonts w:hint="eastAsia" w:ascii="仿宋_GB2312" w:hAnsi="黑体" w:eastAsia="仿宋_GB2312" w:cs="黑体"/>
              </w:rPr>
              <w:t>落实到位、措施得力、成效明显的，为“好”；落实比较到位、措施比较得力、成效比较明显的，为“较好”；落实不到位、措施不得力、成效不明显的，为“差”。</w:t>
            </w:r>
          </w:p>
          <w:p>
            <w:pPr>
              <w:adjustRightInd w:val="0"/>
              <w:snapToGrid w:val="0"/>
              <w:spacing w:line="0" w:lineRule="atLeast"/>
              <w:jc w:val="left"/>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hint="eastAsia" w:ascii="仿宋_GB2312" w:hAnsi="黑体" w:eastAsia="仿宋_GB2312" w:cs="黑体"/>
              </w:rPr>
            </w:pPr>
          </w:p>
          <w:p>
            <w:pPr>
              <w:adjustRightInd w:val="0"/>
              <w:snapToGrid w:val="0"/>
              <w:spacing w:line="0" w:lineRule="atLeast"/>
              <w:jc w:val="center"/>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hint="eastAsia" w:ascii="仿宋_GB2312" w:hAnsi="黑体" w:eastAsia="仿宋_GB2312" w:cs="黑体"/>
              </w:rPr>
            </w:pPr>
          </w:p>
          <w:p>
            <w:pPr>
              <w:adjustRightInd w:val="0"/>
              <w:snapToGrid w:val="0"/>
              <w:spacing w:line="0" w:lineRule="atLeast"/>
              <w:jc w:val="left"/>
              <w:rPr>
                <w:rFonts w:ascii="仿宋_GB2312" w:hAnsi="黑体" w:eastAsia="仿宋_GB2312" w:cs="黑体"/>
              </w:rPr>
            </w:pPr>
            <w:r>
              <w:rPr>
                <w:rFonts w:hint="eastAsia" w:ascii="仿宋_GB2312" w:hAnsi="黑体" w:eastAsia="仿宋_GB2312" w:cs="黑体"/>
              </w:rPr>
              <w:t>落实到位、措施得力、成效明显的，为“好”；落实比较到位、措施比较得力、成效比较明显的，为“较好”；落实不到位、措施不得力、成效不明显的，为“差”。</w:t>
            </w:r>
          </w:p>
          <w:p>
            <w:pPr>
              <w:adjustRightInd w:val="0"/>
              <w:snapToGrid w:val="0"/>
              <w:spacing w:line="0" w:lineRule="atLeast"/>
              <w:jc w:val="left"/>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
            <w:pPr>
              <w:adjustRightInd w:val="0"/>
              <w:snapToGrid w:val="0"/>
              <w:spacing w:line="0" w:lineRule="atLeast"/>
              <w:jc w:val="center"/>
              <w:rPr>
                <w:rFonts w:hint="eastAsia" w:ascii="仿宋_GB2312" w:hAnsi="黑体" w:eastAsia="仿宋_GB2312" w:cs="黑体"/>
              </w:rPr>
            </w:pPr>
          </w:p>
          <w:p>
            <w:pPr>
              <w:adjustRightInd w:val="0"/>
              <w:snapToGrid w:val="0"/>
              <w:spacing w:line="0" w:lineRule="atLeast"/>
              <w:jc w:val="left"/>
              <w:rPr>
                <w:rFonts w:ascii="仿宋_GB2312" w:hAnsi="黑体" w:eastAsia="仿宋_GB2312" w:cs="黑体"/>
              </w:rPr>
            </w:pPr>
            <w:r>
              <w:rPr>
                <w:rFonts w:hint="eastAsia" w:ascii="仿宋_GB2312" w:hAnsi="黑体" w:eastAsia="仿宋_GB2312" w:cs="黑体"/>
              </w:rPr>
              <w:t>落实到位、措施得力、成效明显的，为“好”；落实比较到位、措施比较得力、成效比较明显的，为“较好”；落实不到位、措施不得力、成效不明显的，为“差”。</w:t>
            </w:r>
          </w:p>
          <w:p>
            <w:pPr>
              <w:adjustRightInd w:val="0"/>
              <w:snapToGrid w:val="0"/>
              <w:spacing w:line="0" w:lineRule="atLeast"/>
              <w:jc w:val="left"/>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pPr>
          </w:p>
          <w:p/>
          <w:p>
            <w:pPr>
              <w:pStyle w:val="2"/>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left"/>
              <w:rPr>
                <w:rFonts w:ascii="仿宋_GB2312" w:hAnsi="黑体" w:eastAsia="仿宋_GB2312" w:cs="黑体"/>
              </w:rPr>
            </w:pPr>
            <w:r>
              <w:rPr>
                <w:rFonts w:hint="eastAsia" w:ascii="仿宋_GB2312" w:hAnsi="黑体" w:eastAsia="仿宋_GB2312" w:cs="黑体"/>
              </w:rPr>
              <w:t>落实到位、措施得力、成效明显的，为“好”；落实比较到位、措施比较得力、成效比较明显的，为“较好”；落实不到位、措施不得力、成效不明显的，为“差”。</w:t>
            </w: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
            <w:pPr>
              <w:adjustRightInd w:val="0"/>
              <w:snapToGrid w:val="0"/>
              <w:spacing w:line="0" w:lineRule="atLeast"/>
              <w:jc w:val="cente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
            <w:pPr>
              <w:adjustRightInd w:val="0"/>
              <w:snapToGrid w:val="0"/>
              <w:spacing w:line="0" w:lineRule="atLeast"/>
              <w:jc w:val="cente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
          <w:p>
            <w:pPr>
              <w:adjustRightInd w:val="0"/>
              <w:snapToGrid w:val="0"/>
              <w:spacing w:line="0" w:lineRule="atLeast"/>
              <w:jc w:val="left"/>
              <w:rPr>
                <w:rFonts w:ascii="仿宋_GB2312" w:hAnsi="黑体" w:eastAsia="仿宋_GB2312" w:cs="黑体"/>
              </w:rPr>
            </w:pPr>
            <w:r>
              <w:rPr>
                <w:rFonts w:hint="eastAsia" w:ascii="仿宋_GB2312" w:hAnsi="黑体" w:eastAsia="仿宋_GB2312" w:cs="黑体"/>
              </w:rPr>
              <w:t>落实到位、措施得力、成效明显的，为“好”；落实比较到位、措施比较得力、成效比较明显的，为“较好”；落实不到位、措施不得力、成效不明显的，为“差”。</w:t>
            </w: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Pr>
              <w:rPr>
                <w:rFonts w:ascii="仿宋_GB2312" w:hAnsi="黑体" w:eastAsia="仿宋_GB2312" w:cs="黑体"/>
              </w:rPr>
            </w:pPr>
          </w:p>
          <w:p>
            <w:pPr>
              <w:pStyle w:val="2"/>
              <w:rPr>
                <w:rFonts w:ascii="仿宋_GB2312" w:hAnsi="黑体" w:eastAsia="仿宋_GB2312" w:cs="黑体"/>
              </w:rPr>
            </w:pPr>
          </w:p>
          <w:p/>
          <w:p/>
          <w:p>
            <w:pPr>
              <w:adjustRightInd w:val="0"/>
              <w:snapToGrid w:val="0"/>
              <w:spacing w:line="0" w:lineRule="atLeast"/>
              <w:jc w:val="center"/>
              <w:rPr>
                <w:rFonts w:ascii="仿宋_GB2312" w:hAnsi="黑体" w:eastAsia="仿宋_GB2312" w:cs="黑体"/>
              </w:rPr>
            </w:pPr>
          </w:p>
          <w:p>
            <w:pPr>
              <w:adjustRightInd w:val="0"/>
              <w:snapToGrid w:val="0"/>
              <w:spacing w:line="0" w:lineRule="atLeast"/>
              <w:jc w:val="center"/>
              <w:rPr>
                <w:rFonts w:hint="eastAsia" w:ascii="仿宋_GB2312" w:hAnsi="黑体" w:eastAsia="仿宋_GB2312" w:cs="黑体"/>
              </w:rPr>
            </w:pPr>
          </w:p>
          <w:p>
            <w:pPr>
              <w:adjustRightInd w:val="0"/>
              <w:snapToGrid w:val="0"/>
              <w:spacing w:line="0" w:lineRule="atLeast"/>
              <w:jc w:val="left"/>
              <w:rPr>
                <w:rFonts w:ascii="仿宋_GB2312" w:hAnsi="黑体" w:eastAsia="仿宋_GB2312" w:cs="黑体"/>
              </w:rPr>
            </w:pPr>
            <w:r>
              <w:rPr>
                <w:rFonts w:hint="eastAsia" w:ascii="仿宋_GB2312" w:hAnsi="黑体" w:eastAsia="仿宋_GB2312" w:cs="黑体"/>
              </w:rPr>
              <w:t>落实到位、措施得力、成效明显的，为“好”；落实比较到位、措施比较得力、成效比较明显的，为“较好”；落实不到位、措施不得力、成效不明显的，为“差”。</w:t>
            </w:r>
          </w:p>
          <w:p>
            <w:pPr>
              <w:adjustRightInd w:val="0"/>
              <w:snapToGrid w:val="0"/>
              <w:spacing w:line="0" w:lineRule="atLeast"/>
              <w:jc w:val="both"/>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3"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14.教师技能大赛</w:t>
            </w:r>
          </w:p>
        </w:tc>
        <w:tc>
          <w:tcPr>
            <w:tcW w:w="7761" w:type="dxa"/>
            <w:vAlign w:val="center"/>
          </w:tcPr>
          <w:p>
            <w:pPr>
              <w:adjustRightInd w:val="0"/>
              <w:snapToGrid w:val="0"/>
              <w:spacing w:line="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以教学能力大赛和高校青年教师教学比赛为抓手，建立系赛、校赛、省赛三级选拔推荐机制（争取省教学能力比赛一等奖2个（中职1个）、省高校青年教师教学比赛二等奖以上1个）；</w:t>
            </w:r>
          </w:p>
          <w:p>
            <w:pPr>
              <w:adjustRightInd w:val="0"/>
              <w:snapToGrid w:val="0"/>
              <w:spacing w:line="0" w:lineRule="atLeast"/>
              <w:rPr>
                <w:rFonts w:ascii="黑体" w:hAnsi="黑体" w:eastAsia="黑体" w:cs="黑体"/>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①提供院级层面教学能力大赛的办法、举措；②省级教学能力比赛获奖名单及支撑材料。</w:t>
            </w:r>
          </w:p>
        </w:tc>
        <w:tc>
          <w:tcPr>
            <w:tcW w:w="1673" w:type="dxa"/>
            <w:vAlign w:val="center"/>
          </w:tcPr>
          <w:p>
            <w:pPr>
              <w:adjustRightInd w:val="0"/>
              <w:snapToGrid w:val="0"/>
              <w:spacing w:line="0" w:lineRule="atLeast"/>
              <w:jc w:val="center"/>
              <w:rPr>
                <w:rFonts w:ascii="仿宋_GB2312" w:hAnsi="黑体" w:eastAsia="仿宋_GB2312" w:cs="黑体"/>
                <w:color w:val="000000" w:themeColor="text1"/>
                <w14:textFill>
                  <w14:solidFill>
                    <w14:schemeClr w14:val="tx1"/>
                  </w14:solidFill>
                </w14:textFill>
              </w:rPr>
            </w:pPr>
            <w:r>
              <w:rPr>
                <w:rFonts w:hint="eastAsia" w:ascii="仿宋_GB2312" w:hAnsi="黑体" w:eastAsia="仿宋_GB2312" w:cs="黑体"/>
                <w:color w:val="000000" w:themeColor="text1"/>
                <w14:textFill>
                  <w14:solidFill>
                    <w14:schemeClr w14:val="tx1"/>
                  </w14:solidFill>
                </w14:textFill>
              </w:rPr>
              <w:t>教务处</w:t>
            </w:r>
            <w:r>
              <w:rPr>
                <w:rFonts w:hint="eastAsia" w:ascii="仿宋_GB2312" w:hAnsi="黑体" w:eastAsia="仿宋_GB2312" w:cs="黑体"/>
                <w:color w:val="000000" w:themeColor="text1"/>
                <w:vertAlign w:val="superscript"/>
                <w14:textFill>
                  <w14:solidFill>
                    <w14:schemeClr w14:val="tx1"/>
                  </w14:solidFill>
                </w14:textFill>
              </w:rPr>
              <w:t>9</w:t>
            </w:r>
          </w:p>
        </w:tc>
        <w:tc>
          <w:tcPr>
            <w:tcW w:w="1845" w:type="dxa"/>
            <w:vMerge w:val="continue"/>
            <w:vAlign w:val="center"/>
          </w:tcPr>
          <w:p>
            <w:pPr>
              <w:adjustRightInd w:val="0"/>
              <w:snapToGrid w:val="0"/>
              <w:spacing w:line="0" w:lineRule="atLeast"/>
              <w:jc w:val="center"/>
              <w:rPr>
                <w:rFonts w:ascii="仿宋_GB2312" w:hAnsi="黑体" w:eastAsia="仿宋_GB2312" w:cs="黑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3"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15.学生</w:t>
            </w:r>
          </w:p>
          <w:p>
            <w:pPr>
              <w:adjustRightInd w:val="0"/>
              <w:snapToGrid w:val="0"/>
              <w:spacing w:line="0" w:lineRule="atLeast"/>
              <w:jc w:val="center"/>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“技能大赛”</w:t>
            </w:r>
          </w:p>
        </w:tc>
        <w:tc>
          <w:tcPr>
            <w:tcW w:w="7761" w:type="dxa"/>
            <w:vAlign w:val="center"/>
          </w:tcPr>
          <w:p>
            <w:pPr>
              <w:adjustRightInd w:val="0"/>
              <w:snapToGrid w:val="0"/>
              <w:spacing w:line="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完善校级层面技能大赛制度，争取学生参赛率90%以上；积极备战省赛国赛，全力推动大赛提级增量。技能大赛国赛二等奖以上1个、省赛一等奖不少于1个，行赛国家级一等奖不少于4个（中职1个）。</w:t>
            </w:r>
          </w:p>
          <w:p>
            <w:pPr>
              <w:adjustRightInd w:val="0"/>
              <w:snapToGrid w:val="0"/>
              <w:spacing w:line="0" w:lineRule="atLeast"/>
              <w:rPr>
                <w:rFonts w:ascii="黑体" w:hAnsi="黑体" w:eastAsia="黑体" w:cs="黑体"/>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提供校级技能大赛的相关制度、举措；学生技能大赛获奖名单、获奖证书（扫描件）、完善材料档案。</w:t>
            </w:r>
          </w:p>
        </w:tc>
        <w:tc>
          <w:tcPr>
            <w:tcW w:w="1673" w:type="dxa"/>
            <w:vAlign w:val="center"/>
          </w:tcPr>
          <w:p>
            <w:pPr>
              <w:adjustRightInd w:val="0"/>
              <w:snapToGrid w:val="0"/>
              <w:spacing w:line="0" w:lineRule="atLeast"/>
              <w:jc w:val="center"/>
              <w:rPr>
                <w:rFonts w:ascii="仿宋_GB2312" w:hAnsi="黑体" w:eastAsia="仿宋_GB2312" w:cs="黑体"/>
                <w:color w:val="000000" w:themeColor="text1"/>
                <w14:textFill>
                  <w14:solidFill>
                    <w14:schemeClr w14:val="tx1"/>
                  </w14:solidFill>
                </w14:textFill>
              </w:rPr>
            </w:pPr>
            <w:r>
              <w:rPr>
                <w:rFonts w:hint="eastAsia" w:ascii="仿宋_GB2312" w:hAnsi="黑体" w:eastAsia="仿宋_GB2312" w:cs="黑体"/>
                <w:color w:val="000000" w:themeColor="text1"/>
                <w14:textFill>
                  <w14:solidFill>
                    <w14:schemeClr w14:val="tx1"/>
                  </w14:solidFill>
                </w14:textFill>
              </w:rPr>
              <w:t>实验实训中心</w:t>
            </w:r>
            <w:r>
              <w:rPr>
                <w:rFonts w:hint="eastAsia" w:ascii="仿宋_GB2312" w:hAnsi="黑体" w:eastAsia="仿宋_GB2312" w:cs="黑体"/>
                <w:color w:val="000000" w:themeColor="text1"/>
                <w:vertAlign w:val="superscript"/>
                <w14:textFill>
                  <w14:solidFill>
                    <w14:schemeClr w14:val="tx1"/>
                  </w14:solidFill>
                </w14:textFill>
              </w:rPr>
              <w:t>2</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1299" w:type="dxa"/>
            <w:vMerge w:val="continue"/>
            <w:tcBorders>
              <w:bottom w:val="single" w:color="auto" w:sz="4" w:space="0"/>
            </w:tcBorders>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tcBorders>
              <w:bottom w:val="single" w:color="auto" w:sz="4" w:space="0"/>
            </w:tcBorders>
            <w:vAlign w:val="center"/>
          </w:tcPr>
          <w:p>
            <w:pPr>
              <w:adjustRightInd w:val="0"/>
              <w:snapToGrid w:val="0"/>
              <w:spacing w:line="0" w:lineRule="atLeast"/>
              <w:jc w:val="center"/>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16.“专升本”和“春季高考”</w:t>
            </w:r>
          </w:p>
        </w:tc>
        <w:tc>
          <w:tcPr>
            <w:tcW w:w="7761" w:type="dxa"/>
            <w:vAlign w:val="center"/>
          </w:tcPr>
          <w:p>
            <w:pPr>
              <w:adjustRightInd w:val="0"/>
              <w:snapToGrid w:val="0"/>
              <w:spacing w:line="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抓实“专升本”和“春季高考”工作，打造亮点特色。“专升本”100人，“春季高考”升学400人。</w:t>
            </w:r>
          </w:p>
          <w:p>
            <w:pPr>
              <w:adjustRightInd w:val="0"/>
              <w:snapToGrid w:val="0"/>
              <w:spacing w:line="0" w:lineRule="atLeas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提供开展“专升本”工作的办法、举措；“专升本”学生数量、升学名单。</w:t>
            </w:r>
          </w:p>
        </w:tc>
        <w:tc>
          <w:tcPr>
            <w:tcW w:w="1673" w:type="dxa"/>
            <w:vAlign w:val="center"/>
          </w:tcPr>
          <w:p>
            <w:pPr>
              <w:adjustRightInd w:val="0"/>
              <w:snapToGrid w:val="0"/>
              <w:spacing w:line="0" w:lineRule="atLeast"/>
              <w:jc w:val="center"/>
              <w:rPr>
                <w:rFonts w:ascii="仿宋_GB2312" w:hAnsi="黑体" w:eastAsia="仿宋_GB2312" w:cs="黑体"/>
                <w:color w:val="000000" w:themeColor="text1"/>
                <w14:textFill>
                  <w14:solidFill>
                    <w14:schemeClr w14:val="tx1"/>
                  </w14:solidFill>
                </w14:textFill>
              </w:rPr>
            </w:pPr>
            <w:r>
              <w:rPr>
                <w:rFonts w:hint="eastAsia" w:ascii="仿宋_GB2312" w:hAnsi="黑体" w:eastAsia="仿宋_GB2312" w:cs="黑体"/>
                <w:color w:val="000000" w:themeColor="text1"/>
                <w14:textFill>
                  <w14:solidFill>
                    <w14:schemeClr w14:val="tx1"/>
                  </w14:solidFill>
                </w14:textFill>
              </w:rPr>
              <w:t>教务处</w:t>
            </w:r>
            <w:r>
              <w:rPr>
                <w:rFonts w:hint="eastAsia" w:ascii="仿宋_GB2312" w:hAnsi="黑体" w:eastAsia="仿宋_GB2312" w:cs="黑体"/>
                <w:color w:val="000000" w:themeColor="text1"/>
                <w:vertAlign w:val="superscript"/>
                <w14:textFill>
                  <w14:solidFill>
                    <w14:schemeClr w14:val="tx1"/>
                  </w14:solidFill>
                </w14:textFill>
              </w:rPr>
              <w:t>1</w:t>
            </w:r>
            <w:r>
              <w:rPr>
                <w:rFonts w:ascii="仿宋_GB2312" w:hAnsi="黑体" w:eastAsia="仿宋_GB2312" w:cs="黑体"/>
                <w:color w:val="000000" w:themeColor="text1"/>
                <w:vertAlign w:val="superscript"/>
                <w14:textFill>
                  <w14:solidFill>
                    <w14:schemeClr w14:val="tx1"/>
                  </w14:solidFill>
                </w14:textFill>
              </w:rPr>
              <w:t>0</w:t>
            </w:r>
          </w:p>
          <w:p>
            <w:pPr>
              <w:adjustRightInd w:val="0"/>
              <w:snapToGrid w:val="0"/>
              <w:spacing w:line="0" w:lineRule="atLeast"/>
              <w:jc w:val="center"/>
              <w:rPr>
                <w:rFonts w:ascii="仿宋_GB2312" w:hAnsi="黑体" w:eastAsia="仿宋_GB2312" w:cs="黑体"/>
                <w:color w:val="000000" w:themeColor="text1"/>
                <w14:textFill>
                  <w14:solidFill>
                    <w14:schemeClr w14:val="tx1"/>
                  </w14:solidFill>
                </w14:textFill>
              </w:rPr>
            </w:pPr>
            <w:r>
              <w:rPr>
                <w:rFonts w:hint="eastAsia" w:ascii="仿宋_GB2312" w:hAnsi="黑体" w:eastAsia="仿宋_GB2312" w:cs="黑体"/>
                <w:color w:val="000000" w:themeColor="text1"/>
                <w14:textFill>
                  <w14:solidFill>
                    <w14:schemeClr w14:val="tx1"/>
                  </w14:solidFill>
                </w14:textFill>
              </w:rPr>
              <w:t>职教中心</w:t>
            </w:r>
            <w:r>
              <w:rPr>
                <w:rFonts w:hint="eastAsia" w:ascii="仿宋_GB2312" w:hAnsi="黑体" w:eastAsia="仿宋_GB2312" w:cs="黑体"/>
                <w:color w:val="000000" w:themeColor="text1"/>
                <w:vertAlign w:val="superscript"/>
                <w14:textFill>
                  <w14:solidFill>
                    <w14:schemeClr w14:val="tx1"/>
                  </w14:solidFill>
                </w14:textFill>
              </w:rPr>
              <w:t>1</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299" w:type="dxa"/>
            <w:vMerge w:val="restart"/>
            <w:tcBorders>
              <w:top w:val="single" w:color="auto" w:sz="4" w:space="0"/>
            </w:tcBorders>
            <w:vAlign w:val="center"/>
          </w:tcPr>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四、坚持立德树人，提升育人工作水平</w:t>
            </w: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四、坚持立德树人，提升育人工作水平（续）</w:t>
            </w:r>
          </w:p>
          <w:p>
            <w:pPr>
              <w:adjustRightInd w:val="0"/>
              <w:snapToGrid w:val="0"/>
              <w:spacing w:line="0" w:lineRule="atLeast"/>
              <w:jc w:val="both"/>
              <w:rPr>
                <w:rFonts w:asciiTheme="minorEastAsia" w:hAnsiTheme="minorEastAsia" w:eastAsiaTheme="minorEastAsia" w:cstheme="minorEastAsia"/>
                <w:bCs/>
              </w:rPr>
            </w:pPr>
          </w:p>
        </w:tc>
        <w:tc>
          <w:tcPr>
            <w:tcW w:w="1829" w:type="dxa"/>
            <w:tcBorders>
              <w:top w:val="single" w:color="auto" w:sz="4" w:space="0"/>
              <w:bottom w:val="single" w:color="auto" w:sz="4" w:space="0"/>
            </w:tcBorders>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17.统筹立德树人、三全育人</w:t>
            </w:r>
          </w:p>
        </w:tc>
        <w:tc>
          <w:tcPr>
            <w:tcW w:w="7761" w:type="dxa"/>
            <w:tcBorders>
              <w:bottom w:val="single" w:color="auto" w:sz="4" w:space="0"/>
            </w:tcBorders>
            <w:vAlign w:val="center"/>
          </w:tcPr>
          <w:p>
            <w:pPr>
              <w:adjustRightInd w:val="0"/>
              <w:snapToGrid w:val="0"/>
              <w:spacing w:line="0" w:lineRule="atLeast"/>
              <w:rPr>
                <w:rFonts w:ascii="仿宋_GB2312" w:eastAsia="仿宋_GB2312"/>
              </w:rPr>
            </w:pPr>
            <w:r>
              <w:rPr>
                <w:rFonts w:hint="eastAsia" w:ascii="仿宋_GB2312" w:eastAsia="仿宋_GB2312"/>
              </w:rPr>
              <w:t>优化党委统一领导，党政群齐抓共管、各部门各负其责、专兼职队伍紧密结合、全院教职员工通力合作的三全育人长效机制。提供学院“三全育人”工作方案；“三全育人”工作综述材料及典型案例。</w:t>
            </w:r>
          </w:p>
        </w:tc>
        <w:tc>
          <w:tcPr>
            <w:tcW w:w="1673" w:type="dxa"/>
            <w:vAlign w:val="center"/>
          </w:tcPr>
          <w:p>
            <w:pPr>
              <w:adjustRightInd w:val="0"/>
              <w:snapToGrid w:val="0"/>
              <w:spacing w:line="0" w:lineRule="atLeast"/>
              <w:jc w:val="center"/>
              <w:rPr>
                <w:rFonts w:ascii="仿宋_GB2312" w:eastAsia="仿宋_GB2312"/>
              </w:rPr>
            </w:pPr>
            <w:r>
              <w:rPr>
                <w:rFonts w:hint="eastAsia" w:ascii="仿宋_GB2312" w:eastAsia="仿宋_GB2312"/>
              </w:rPr>
              <w:t>宣传部</w:t>
            </w:r>
            <w:r>
              <w:rPr>
                <w:rFonts w:hint="eastAsia" w:ascii="仿宋_GB2312" w:eastAsia="仿宋_GB2312"/>
                <w:vertAlign w:val="superscript"/>
              </w:rPr>
              <w:t>1</w:t>
            </w:r>
          </w:p>
          <w:p>
            <w:pPr>
              <w:adjustRightInd w:val="0"/>
              <w:snapToGrid w:val="0"/>
              <w:spacing w:line="0" w:lineRule="atLeast"/>
              <w:jc w:val="center"/>
              <w:rPr>
                <w:rFonts w:ascii="仿宋_GB2312" w:eastAsia="仿宋_GB2312"/>
              </w:rPr>
            </w:pPr>
            <w:r>
              <w:rPr>
                <w:rFonts w:hint="eastAsia" w:ascii="仿宋_GB2312" w:hAnsi="黑体" w:eastAsia="仿宋_GB2312" w:cs="黑体"/>
              </w:rPr>
              <w:t>（新增）</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tcBorders>
              <w:top w:val="single" w:color="auto" w:sz="4" w:space="0"/>
            </w:tcBorders>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18.抓好思政课程建设</w:t>
            </w:r>
          </w:p>
        </w:tc>
        <w:tc>
          <w:tcPr>
            <w:tcW w:w="7761" w:type="dxa"/>
            <w:tcBorders>
              <w:bottom w:val="single" w:color="auto" w:sz="4" w:space="0"/>
            </w:tcBorders>
            <w:vAlign w:val="center"/>
          </w:tcPr>
          <w:p>
            <w:pPr>
              <w:adjustRightInd w:val="0"/>
              <w:snapToGrid w:val="0"/>
              <w:spacing w:line="0" w:lineRule="atLeast"/>
              <w:rPr>
                <w:rFonts w:ascii="仿宋_GB2312" w:eastAsia="仿宋_GB2312"/>
              </w:rPr>
            </w:pPr>
            <w:r>
              <w:rPr>
                <w:rFonts w:hint="eastAsia" w:ascii="仿宋_GB2312" w:eastAsia="仿宋_GB2312"/>
              </w:rPr>
              <w:t>全面加强新时代学院思想政治理论课教师队伍建设，制定落实方案。高质量办好新时代思想政治理论课。</w:t>
            </w:r>
          </w:p>
          <w:p>
            <w:pPr>
              <w:adjustRightInd w:val="0"/>
              <w:snapToGrid w:val="0"/>
              <w:spacing w:line="0" w:lineRule="atLeast"/>
              <w:rPr>
                <w:rFonts w:hint="eastAsia" w:ascii="仿宋_GB2312" w:eastAsia="仿宋_GB2312"/>
                <w:lang w:eastAsia="zh-CN"/>
              </w:rPr>
            </w:pPr>
            <w:r>
              <w:rPr>
                <w:rFonts w:hint="eastAsia" w:ascii="仿宋_GB2312" w:eastAsia="仿宋_GB2312"/>
              </w:rPr>
              <w:t>提供思想政治理论课学时达标率支撑材料；思想政治理论课经验做法与典型案例</w:t>
            </w:r>
            <w:r>
              <w:rPr>
                <w:rFonts w:hint="eastAsia" w:ascii="仿宋_GB2312" w:eastAsia="仿宋_GB2312"/>
                <w:lang w:eastAsia="zh-CN"/>
              </w:rPr>
              <w:t>。</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eastAsia="仿宋_GB2312"/>
              </w:rPr>
              <w:t>思政部</w:t>
            </w:r>
            <w:r>
              <w:rPr>
                <w:rFonts w:hint="eastAsia" w:ascii="仿宋_GB2312" w:eastAsia="仿宋_GB2312"/>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tcBorders>
              <w:bottom w:val="single" w:color="auto" w:sz="4" w:space="0"/>
            </w:tcBorders>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19.抓好课程思政建设</w:t>
            </w:r>
          </w:p>
        </w:tc>
        <w:tc>
          <w:tcPr>
            <w:tcW w:w="7761" w:type="dxa"/>
            <w:tcBorders>
              <w:top w:val="single" w:color="auto" w:sz="4" w:space="0"/>
              <w:bottom w:val="single" w:color="auto" w:sz="4" w:space="0"/>
            </w:tcBorders>
            <w:vAlign w:val="center"/>
          </w:tcPr>
          <w:p>
            <w:pPr>
              <w:adjustRightInd w:val="0"/>
              <w:snapToGrid w:val="0"/>
              <w:spacing w:line="264" w:lineRule="auto"/>
              <w:rPr>
                <w:rFonts w:ascii="黑体" w:hAnsi="黑体" w:eastAsia="黑体" w:cs="黑体"/>
              </w:rPr>
            </w:pPr>
            <w:r>
              <w:rPr>
                <w:rFonts w:hint="eastAsia" w:ascii="仿宋_GB2312" w:eastAsia="仿宋_GB2312"/>
              </w:rPr>
              <w:t>提供推进课程思政的方法、举措；汇总各专业课程思政典型案例。</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教务处</w:t>
            </w:r>
            <w:r>
              <w:rPr>
                <w:rFonts w:hint="eastAsia" w:ascii="仿宋_GB2312" w:hAnsi="黑体" w:eastAsia="仿宋_GB2312" w:cs="黑体"/>
                <w:vertAlign w:val="superscript"/>
              </w:rPr>
              <w:t>1</w:t>
            </w:r>
            <w:r>
              <w:rPr>
                <w:rFonts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20.加强学生教育管理</w:t>
            </w:r>
          </w:p>
          <w:p>
            <w:pPr>
              <w:adjustRightInd w:val="0"/>
              <w:snapToGrid w:val="0"/>
              <w:spacing w:line="0" w:lineRule="atLeast"/>
              <w:jc w:val="center"/>
              <w:rPr>
                <w:rFonts w:asciiTheme="minorEastAsia" w:hAnsiTheme="minorEastAsia" w:eastAsiaTheme="minorEastAsia" w:cstheme="minorEastAsia"/>
                <w:bCs/>
              </w:rPr>
            </w:pPr>
          </w:p>
        </w:tc>
        <w:tc>
          <w:tcPr>
            <w:tcW w:w="7761" w:type="dxa"/>
            <w:tcBorders>
              <w:top w:val="nil"/>
            </w:tcBorders>
            <w:vAlign w:val="center"/>
          </w:tcPr>
          <w:p>
            <w:pPr>
              <w:adjustRightInd w:val="0"/>
              <w:snapToGrid w:val="0"/>
              <w:spacing w:line="264" w:lineRule="auto"/>
              <w:rPr>
                <w:rFonts w:ascii="仿宋_GB2312" w:eastAsia="仿宋_GB2312"/>
              </w:rPr>
            </w:pPr>
            <w:r>
              <w:rPr>
                <w:rFonts w:hint="eastAsia" w:ascii="仿宋_GB2312" w:eastAsia="仿宋_GB2312"/>
              </w:rPr>
              <w:t>加强辅导员队伍建设，推进实施专职辅导员制度，确保全省辅导员大赛“保二争一”。争取省辅导员素质能力大赛一等奖1个。</w:t>
            </w:r>
          </w:p>
          <w:p>
            <w:pPr>
              <w:adjustRightInd w:val="0"/>
              <w:snapToGrid w:val="0"/>
              <w:spacing w:line="264" w:lineRule="auto"/>
              <w:rPr>
                <w:rFonts w:ascii="黑体" w:hAnsi="黑体" w:eastAsia="黑体" w:cs="黑体"/>
              </w:rPr>
            </w:pPr>
            <w:r>
              <w:rPr>
                <w:rFonts w:hint="eastAsia" w:ascii="仿宋_GB2312" w:eastAsia="仿宋_GB2312"/>
              </w:rPr>
              <w:t>提供加强辅导员队伍建设的办法、举措；提供全省辅导员大赛结果及证明材料。提供辅导员比例。（按照师生比不低于1∶200的比例设置专职辅导员岗位）</w:t>
            </w:r>
          </w:p>
        </w:tc>
        <w:tc>
          <w:tcPr>
            <w:tcW w:w="1673" w:type="dxa"/>
            <w:vAlign w:val="center"/>
          </w:tcPr>
          <w:p>
            <w:pPr>
              <w:adjustRightInd w:val="0"/>
              <w:snapToGrid w:val="0"/>
              <w:spacing w:line="0" w:lineRule="atLeast"/>
              <w:jc w:val="center"/>
              <w:rPr>
                <w:rFonts w:hint="eastAsia" w:ascii="仿宋_GB2312" w:hAnsi="黑体" w:eastAsia="仿宋_GB2312" w:cs="黑体"/>
              </w:rPr>
            </w:pPr>
            <w:r>
              <w:rPr>
                <w:rFonts w:hint="eastAsia" w:ascii="仿宋_GB2312" w:hAnsi="黑体" w:eastAsia="仿宋_GB2312" w:cs="黑体"/>
              </w:rPr>
              <w:t>团委学生</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工作处</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以社会主义核心观为统领，抓好“三青工程”，全过程、全方位教育引导服务学生健康发展。学生活动及管理类省级以上荣誉不少于6项。</w:t>
            </w:r>
          </w:p>
          <w:p>
            <w:pPr>
              <w:adjustRightInd w:val="0"/>
              <w:snapToGrid w:val="0"/>
              <w:spacing w:line="264" w:lineRule="auto"/>
              <w:rPr>
                <w:rFonts w:ascii="仿宋_GB2312" w:eastAsia="仿宋_GB2312"/>
              </w:rPr>
            </w:pPr>
            <w:r>
              <w:rPr>
                <w:rFonts w:hint="eastAsia" w:ascii="仿宋_GB2312" w:eastAsia="仿宋_GB2312"/>
              </w:rPr>
              <w:t>佐证材料：提供全方位、全过程育人的综述材料、典型案例及相关支撑材料。提供学生工作获得省级以上奖项的支撑材料、证书扫描件。</w:t>
            </w:r>
          </w:p>
        </w:tc>
        <w:tc>
          <w:tcPr>
            <w:tcW w:w="1673" w:type="dxa"/>
            <w:vAlign w:val="center"/>
          </w:tcPr>
          <w:p>
            <w:pPr>
              <w:adjustRightInd w:val="0"/>
              <w:snapToGrid w:val="0"/>
              <w:spacing w:line="0" w:lineRule="atLeast"/>
              <w:jc w:val="center"/>
              <w:rPr>
                <w:rFonts w:hint="eastAsia" w:ascii="仿宋_GB2312" w:hAnsi="黑体" w:eastAsia="仿宋_GB2312" w:cs="黑体"/>
              </w:rPr>
            </w:pPr>
            <w:r>
              <w:rPr>
                <w:rFonts w:hint="eastAsia" w:ascii="仿宋_GB2312" w:hAnsi="黑体" w:eastAsia="仿宋_GB2312" w:cs="黑体"/>
              </w:rPr>
              <w:t>团委学生</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工作处</w:t>
            </w:r>
            <w:r>
              <w:rPr>
                <w:rFonts w:hint="eastAsia" w:ascii="仿宋_GB2312" w:hAnsi="黑体" w:eastAsia="仿宋_GB2312" w:cs="黑体"/>
                <w:vertAlign w:val="superscript"/>
              </w:rPr>
              <w:t>3</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打造育人品牌。抓好“发展型”资助模式改革，争创全省资助工作先进单位。启用国防教育主题园，成立军事教研室，打造国防教育品牌。启用“一站式服务”大学生活动中心，建好公寓“家园印象”。</w:t>
            </w:r>
          </w:p>
          <w:p>
            <w:pPr>
              <w:adjustRightInd w:val="0"/>
              <w:snapToGrid w:val="0"/>
              <w:spacing w:line="264" w:lineRule="auto"/>
              <w:rPr>
                <w:rFonts w:ascii="仿宋_GB2312" w:eastAsia="仿宋_GB2312"/>
              </w:rPr>
            </w:pPr>
            <w:r>
              <w:rPr>
                <w:rFonts w:hint="eastAsia" w:ascii="仿宋_GB2312" w:eastAsia="仿宋_GB2312"/>
              </w:rPr>
              <w:t>佐证材料</w:t>
            </w:r>
            <w:r>
              <w:rPr>
                <w:rFonts w:hint="eastAsia" w:ascii="仿宋_GB2312" w:eastAsia="仿宋_GB2312"/>
                <w:color w:val="000000" w:themeColor="text1"/>
                <w14:textFill>
                  <w14:solidFill>
                    <w14:schemeClr w14:val="tx1"/>
                  </w14:solidFill>
                </w14:textFill>
              </w:rPr>
              <w:t>：提供育人品牌综述材料、典型案例；提供全省资助先进单位证书。</w:t>
            </w:r>
          </w:p>
        </w:tc>
        <w:tc>
          <w:tcPr>
            <w:tcW w:w="1673" w:type="dxa"/>
            <w:vAlign w:val="center"/>
          </w:tcPr>
          <w:p>
            <w:pPr>
              <w:adjustRightInd w:val="0"/>
              <w:snapToGrid w:val="0"/>
              <w:spacing w:line="0" w:lineRule="atLeast"/>
              <w:jc w:val="center"/>
              <w:rPr>
                <w:rFonts w:hint="eastAsia" w:ascii="仿宋_GB2312" w:hAnsi="黑体" w:eastAsia="仿宋_GB2312" w:cs="黑体"/>
              </w:rPr>
            </w:pPr>
            <w:r>
              <w:rPr>
                <w:rFonts w:hint="eastAsia" w:ascii="仿宋_GB2312" w:hAnsi="黑体" w:eastAsia="仿宋_GB2312" w:cs="黑体"/>
              </w:rPr>
              <w:t>团委学生</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工作处</w:t>
            </w:r>
            <w:r>
              <w:rPr>
                <w:rFonts w:hint="eastAsia" w:ascii="仿宋_GB2312" w:hAnsi="黑体" w:eastAsia="仿宋_GB2312" w:cs="黑体"/>
                <w:vertAlign w:val="superscript"/>
              </w:rPr>
              <w:t>4</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21.“齐鲁工匠后备人才”培育工程</w:t>
            </w:r>
          </w:p>
        </w:tc>
        <w:tc>
          <w:tcPr>
            <w:tcW w:w="7761" w:type="dxa"/>
            <w:vAlign w:val="center"/>
          </w:tcPr>
          <w:p>
            <w:pPr>
              <w:adjustRightInd w:val="0"/>
              <w:snapToGrid w:val="0"/>
              <w:spacing w:line="264" w:lineRule="auto"/>
              <w:rPr>
                <w:rFonts w:ascii="黑体" w:hAnsi="黑体" w:eastAsia="黑体" w:cs="黑体"/>
              </w:rPr>
            </w:pPr>
            <w:r>
              <w:rPr>
                <w:rFonts w:hint="eastAsia" w:ascii="仿宋_GB2312" w:eastAsia="仿宋_GB2312"/>
              </w:rPr>
              <w:t>提供实施“大国工匠进校园”“劳模进校园”“优秀校友校园分享”等活动，培育传承工匠精神的经验做法、工作综述、典型案例。</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组织人事部</w:t>
            </w:r>
            <w:r>
              <w:rPr>
                <w:rFonts w:hint="eastAsia" w:ascii="仿宋_GB2312" w:hAnsi="黑体" w:eastAsia="仿宋_GB2312" w:cs="黑体"/>
                <w:vertAlign w:val="superscript"/>
              </w:rPr>
              <w:t>11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提供“齐鲁工匠后备人才”培育工程实施方案，培育和认定学生数量与名单。</w:t>
            </w:r>
          </w:p>
        </w:tc>
        <w:tc>
          <w:tcPr>
            <w:tcW w:w="1673" w:type="dxa"/>
            <w:vAlign w:val="center"/>
          </w:tcPr>
          <w:p>
            <w:pPr>
              <w:adjustRightInd w:val="0"/>
              <w:snapToGrid w:val="0"/>
              <w:spacing w:line="0" w:lineRule="atLeast"/>
              <w:jc w:val="center"/>
              <w:rPr>
                <w:rFonts w:hint="eastAsia" w:ascii="仿宋_GB2312" w:hAnsi="黑体" w:eastAsia="仿宋_GB2312" w:cs="黑体"/>
              </w:rPr>
            </w:pP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教务处</w:t>
            </w:r>
            <w:r>
              <w:rPr>
                <w:rFonts w:hint="eastAsia" w:ascii="仿宋_GB2312" w:hAnsi="黑体" w:eastAsia="仿宋_GB2312" w:cs="黑体"/>
                <w:vertAlign w:val="superscript"/>
              </w:rPr>
              <w:t>1</w:t>
            </w:r>
            <w:r>
              <w:rPr>
                <w:rFonts w:ascii="仿宋_GB2312" w:hAnsi="黑体" w:eastAsia="仿宋_GB2312" w:cs="黑体"/>
                <w:vertAlign w:val="superscript"/>
              </w:rPr>
              <w:t>2</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实验实训中心</w:t>
            </w:r>
            <w:r>
              <w:rPr>
                <w:rFonts w:hint="eastAsia" w:ascii="仿宋_GB2312" w:hAnsi="黑体" w:eastAsia="仿宋_GB2312" w:cs="黑体"/>
                <w:vertAlign w:val="superscript"/>
              </w:rPr>
              <w:t>3</w:t>
            </w:r>
          </w:p>
          <w:p>
            <w:pPr>
              <w:adjustRightInd w:val="0"/>
              <w:snapToGrid w:val="0"/>
              <w:spacing w:line="0" w:lineRule="atLeast"/>
              <w:jc w:val="center"/>
              <w:rPr>
                <w:rFonts w:ascii="仿宋_GB2312" w:hAnsi="黑体" w:eastAsia="仿宋_GB2312" w:cs="黑体"/>
              </w:rPr>
            </w:pP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1299" w:type="dxa"/>
            <w:vMerge w:val="restart"/>
            <w:vAlign w:val="center"/>
          </w:tcPr>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五、深化产教融合，提升社会服务能力</w:t>
            </w: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22.专业与区域产业匹配度</w:t>
            </w: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开展专业调研，制定并完善专业与产业融合发展推进机制，推动专业与产业深度融合。</w:t>
            </w:r>
          </w:p>
          <w:p>
            <w:pPr>
              <w:adjustRightInd w:val="0"/>
              <w:snapToGrid w:val="0"/>
              <w:spacing w:line="264" w:lineRule="auto"/>
              <w:rPr>
                <w:rFonts w:ascii="仿宋_GB2312" w:eastAsia="仿宋_GB2312"/>
              </w:rPr>
            </w:pPr>
            <w:r>
              <w:rPr>
                <w:rFonts w:hint="eastAsia" w:ascii="仿宋_GB2312" w:eastAsia="仿宋_GB2312"/>
              </w:rPr>
              <w:t>提供当年招生专业与区域产业匹配度材料，综合评价。</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招生就业处</w:t>
            </w:r>
            <w:r>
              <w:rPr>
                <w:rFonts w:hint="eastAsia"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23.校企合作培养</w:t>
            </w: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提供合作企业总数及名单；提供订单培养、学徒培养、合作企业（含事业单位等）接收实习学生名单；校企合作开发课程数与教材数及证明材料。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招生就业处</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24.职教集团建设</w:t>
            </w: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完善枣庄市现代制造业职教集团（滕州市职教集团）、枣庄市汽车职教集团工作运行机制，加快创新“工学结合、知行合一”育人模式；牵头成立枣庄市医养健康职业教育集团，打造康养项目服务品牌。</w:t>
            </w:r>
          </w:p>
          <w:p>
            <w:pPr>
              <w:adjustRightInd w:val="0"/>
              <w:snapToGrid w:val="0"/>
              <w:spacing w:line="264" w:lineRule="auto"/>
              <w:rPr>
                <w:rFonts w:ascii="仿宋_GB2312" w:hAnsi="黑体" w:eastAsia="仿宋_GB2312" w:cs="黑体"/>
              </w:rPr>
            </w:pPr>
            <w:r>
              <w:rPr>
                <w:rFonts w:hint="eastAsia" w:ascii="仿宋_GB2312" w:eastAsia="仿宋_GB2312"/>
              </w:rPr>
              <w:t>提供省级以上职教集团成立与运行的相关材料。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招生就业处</w:t>
            </w:r>
            <w:r>
              <w:rPr>
                <w:rFonts w:hint="eastAsia" w:ascii="仿宋_GB2312" w:hAnsi="黑体" w:eastAsia="仿宋_GB2312" w:cs="黑体"/>
                <w:vertAlign w:val="superscript"/>
              </w:rPr>
              <w:t>3</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25.混合所有制</w:t>
            </w:r>
          </w:p>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办学</w:t>
            </w: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依托“国千计划”高新技术产业研究院等产学研机构优质资源，深化产业合作，积极参与全省产教融合示范区（园）建设。</w:t>
            </w:r>
          </w:p>
          <w:p>
            <w:pPr>
              <w:adjustRightInd w:val="0"/>
              <w:snapToGrid w:val="0"/>
              <w:spacing w:line="264" w:lineRule="auto"/>
              <w:rPr>
                <w:rFonts w:ascii="仿宋_GB2312" w:hAnsi="黑体" w:eastAsia="仿宋_GB2312" w:cs="黑体"/>
              </w:rPr>
            </w:pPr>
            <w:r>
              <w:rPr>
                <w:rFonts w:hint="eastAsia" w:ascii="仿宋_GB2312" w:hAnsi="黑体" w:eastAsia="仿宋_GB2312" w:cs="黑体"/>
              </w:rPr>
              <w:t>提供混合所有制办学（二级学院、专业、生产性实训基地、机构或项目等）支撑材料，综合评价。</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教务处</w:t>
            </w:r>
            <w:r>
              <w:rPr>
                <w:rFonts w:hint="eastAsia" w:ascii="仿宋_GB2312" w:hAnsi="黑体" w:eastAsia="仿宋_GB2312" w:cs="黑体"/>
                <w:vertAlign w:val="superscript"/>
              </w:rPr>
              <w:t>1</w:t>
            </w:r>
            <w:r>
              <w:rPr>
                <w:rFonts w:ascii="仿宋_GB2312" w:hAnsi="黑体" w:eastAsia="仿宋_GB2312" w:cs="黑体"/>
                <w:vertAlign w:val="superscript"/>
              </w:rPr>
              <w:t>3</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招生就业处</w:t>
            </w:r>
            <w:r>
              <w:rPr>
                <w:rFonts w:hint="eastAsia" w:ascii="仿宋_GB2312" w:hAnsi="黑体" w:eastAsia="仿宋_GB2312" w:cs="黑体"/>
                <w:vertAlign w:val="superscript"/>
              </w:rPr>
              <w:t>4</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26.共建生产性实训基地</w:t>
            </w: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提供加强生产性实训基地建设与管理的支撑材料。提供校企共建共享生产性实训基地工位数。</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实验实训中心</w:t>
            </w:r>
            <w:r>
              <w:rPr>
                <w:rFonts w:hint="eastAsia" w:ascii="仿宋_GB2312" w:hAnsi="黑体" w:eastAsia="仿宋_GB2312" w:cs="黑体"/>
                <w:vertAlign w:val="superscript"/>
              </w:rPr>
              <w:t>4</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27.技术服务与培训</w:t>
            </w: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依托滕州市新旧动能转换职工技能创新培训学院和职业技能鉴定所，做大做强职业培训和技能鉴定，社会培训不低于8000人。</w:t>
            </w:r>
          </w:p>
          <w:p>
            <w:pPr>
              <w:adjustRightInd w:val="0"/>
              <w:snapToGrid w:val="0"/>
              <w:spacing w:line="264" w:lineRule="auto"/>
              <w:rPr>
                <w:rFonts w:ascii="黑体" w:hAnsi="黑体" w:eastAsia="黑体" w:cs="黑体"/>
              </w:rPr>
            </w:pPr>
            <w:r>
              <w:rPr>
                <w:rFonts w:hint="eastAsia" w:ascii="仿宋_GB2312" w:hAnsi="黑体" w:eastAsia="仿宋_GB2312"/>
                <w:color w:val="000000" w:themeColor="text1"/>
                <w14:textFill>
                  <w14:solidFill>
                    <w14:schemeClr w14:val="tx1"/>
                  </w14:solidFill>
                </w14:textFill>
              </w:rPr>
              <w:t>提供全院技术服务与培训专利到款额证明材料。培训类型、学员名单。</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高级技工学校</w:t>
            </w:r>
            <w:r>
              <w:rPr>
                <w:rFonts w:hint="eastAsia" w:ascii="仿宋_GB2312" w:hAnsi="黑体" w:eastAsia="仿宋_GB2312" w:cs="黑体"/>
                <w:vertAlign w:val="superscript"/>
              </w:rPr>
              <w:t>1</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（培训学院）</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28.继续教育</w:t>
            </w: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提供开展社区教育、老年学习服务、成人继续教育的综述材料及典型案例。</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继续教育中心</w:t>
            </w:r>
            <w:r>
              <w:rPr>
                <w:rFonts w:hint="eastAsia"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继续开展自考本科助学教考服务，做好高职扩招B类C类学生教育教学工作。成人学历教育、自考本科招生不低于500人。</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继续教育中心</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1299" w:type="dxa"/>
            <w:vMerge w:val="restart"/>
            <w:vAlign w:val="center"/>
          </w:tcPr>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六、聚焦效益优先,提升招生就业质量</w:t>
            </w: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29.优化招生结构</w:t>
            </w:r>
          </w:p>
        </w:tc>
        <w:tc>
          <w:tcPr>
            <w:tcW w:w="7761" w:type="dxa"/>
            <w:vAlign w:val="center"/>
          </w:tcPr>
          <w:p>
            <w:pPr>
              <w:adjustRightInd w:val="0"/>
              <w:snapToGrid w:val="0"/>
              <w:spacing w:line="264" w:lineRule="auto"/>
              <w:rPr>
                <w:rFonts w:ascii="黑体" w:hAnsi="黑体" w:eastAsia="黑体" w:cs="黑体"/>
              </w:rPr>
            </w:pPr>
            <w:r>
              <w:rPr>
                <w:rFonts w:hint="eastAsia" w:ascii="仿宋_GB2312" w:eastAsia="仿宋_GB2312"/>
              </w:rPr>
              <w:t>控制招生计划，优化录取办法，平衡专业规模，提高生源质量；创新宣传方式，做强“双百工程”，积极应对高考志愿填报改革；独立组织单招，开展综合评价招生，做大校企联合招生。（争取订单培养和校企联合招生1500人。高职招生控制在校本部3500人以内。）</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招生就业处</w:t>
            </w:r>
            <w:r>
              <w:rPr>
                <w:rFonts w:hint="eastAsia" w:ascii="仿宋_GB2312" w:hAnsi="黑体" w:eastAsia="仿宋_GB2312" w:cs="黑体"/>
                <w:vertAlign w:val="superscript"/>
              </w:rPr>
              <w:t>5</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研究利用中考招生平台，严格把关审核，“培优提质”高考试点班、校企合作订单班、三二连读（五年一贯制）班。中职招生控制在1500人以内。</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招生就业处</w:t>
            </w:r>
            <w:r>
              <w:rPr>
                <w:rFonts w:hint="eastAsia" w:ascii="仿宋_GB2312" w:hAnsi="黑体" w:eastAsia="仿宋_GB2312" w:cs="黑体"/>
                <w:vertAlign w:val="superscript"/>
              </w:rPr>
              <w:t>6</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职教中心</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抓好技工招生，重点招收高级技工，开设预备技师班，扩大高级技工学校在校生规模。技工招生争取突破1000人。</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招生就业处</w:t>
            </w:r>
            <w:r>
              <w:rPr>
                <w:rFonts w:hint="eastAsia" w:ascii="仿宋_GB2312" w:hAnsi="黑体" w:eastAsia="仿宋_GB2312" w:cs="黑体"/>
                <w:vertAlign w:val="superscript"/>
              </w:rPr>
              <w:t>7</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高级技工学校</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6"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30.提升就业质量</w:t>
            </w:r>
          </w:p>
        </w:tc>
        <w:tc>
          <w:tcPr>
            <w:tcW w:w="7761" w:type="dxa"/>
            <w:vAlign w:val="center"/>
          </w:tcPr>
          <w:p>
            <w:pPr>
              <w:adjustRightInd w:val="0"/>
              <w:snapToGrid w:val="0"/>
              <w:spacing w:line="264" w:lineRule="auto"/>
              <w:rPr>
                <w:rFonts w:ascii="仿宋_GB2312" w:eastAsia="仿宋_GB2312"/>
              </w:rPr>
            </w:pPr>
            <w:r>
              <w:rPr>
                <w:rFonts w:hint="eastAsia" w:ascii="仿宋_GB2312" w:eastAsia="仿宋_GB2312"/>
              </w:rPr>
              <w:t>落实《学院毕业生就业工作考核管理办法》，实施就业工作专业排名；加快就业数据库基础建设，提高数据统计规范化水平。毕业生总体就业率96％以上；就业质量、毕业生满意度、创业率继续提高, 进入“全国就业50强”。</w:t>
            </w:r>
          </w:p>
          <w:p>
            <w:pPr>
              <w:adjustRightInd w:val="0"/>
              <w:snapToGrid w:val="0"/>
              <w:spacing w:line="264" w:lineRule="auto"/>
              <w:rPr>
                <w:rFonts w:ascii="黑体" w:hAnsi="黑体" w:eastAsia="黑体" w:cs="黑体"/>
              </w:rPr>
            </w:pPr>
            <w:r>
              <w:rPr>
                <w:rFonts w:hint="eastAsia" w:ascii="仿宋_GB2312" w:eastAsia="仿宋_GB2312"/>
              </w:rPr>
              <w:t>佐证材料：提供毕业生毕业半年后就业率及平均薪酬；推进就业工作、反映毕业生就业质量的相关支撑材料。</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招生就业处</w:t>
            </w:r>
            <w:r>
              <w:rPr>
                <w:rFonts w:hint="eastAsia" w:ascii="仿宋_GB2312" w:hAnsi="黑体" w:eastAsia="仿宋_GB2312" w:cs="黑体"/>
                <w:vertAlign w:val="superscript"/>
              </w:rPr>
              <w:t>8</w:t>
            </w:r>
          </w:p>
        </w:tc>
        <w:tc>
          <w:tcPr>
            <w:tcW w:w="1845" w:type="dxa"/>
            <w:vMerge w:val="continue"/>
            <w:vAlign w:val="center"/>
          </w:tcPr>
          <w:p>
            <w:pPr>
              <w:adjustRightInd w:val="0"/>
              <w:snapToGrid w:val="0"/>
              <w:spacing w:line="0" w:lineRule="atLeas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31.激发创新创业活力</w:t>
            </w:r>
          </w:p>
        </w:tc>
        <w:tc>
          <w:tcPr>
            <w:tcW w:w="7761" w:type="dxa"/>
            <w:vAlign w:val="center"/>
          </w:tcPr>
          <w:p>
            <w:pPr>
              <w:adjustRightInd w:val="0"/>
              <w:snapToGrid w:val="0"/>
              <w:spacing w:line="264" w:lineRule="auto"/>
              <w:rPr>
                <w:rFonts w:ascii="黑体" w:hAnsi="黑体" w:eastAsia="黑体" w:cs="黑体"/>
              </w:rPr>
            </w:pPr>
            <w:r>
              <w:rPr>
                <w:rFonts w:hint="eastAsia" w:ascii="仿宋_GB2312" w:eastAsia="仿宋_GB2312"/>
              </w:rPr>
              <w:t>提供毕业生创业率、创业校本教材、创业导师名单、创业典型案例，创业大赛获奖统计表、证书扫描件。</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招生就业处</w:t>
            </w:r>
            <w:r>
              <w:rPr>
                <w:rFonts w:hint="eastAsia" w:ascii="仿宋_GB2312" w:hAnsi="黑体" w:eastAsia="仿宋_GB2312" w:cs="黑体"/>
                <w:vertAlign w:val="superscript"/>
              </w:rPr>
              <w:t>9</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32.拓展国际交流合作</w:t>
            </w:r>
          </w:p>
        </w:tc>
        <w:tc>
          <w:tcPr>
            <w:tcW w:w="7761" w:type="dxa"/>
            <w:vAlign w:val="center"/>
          </w:tcPr>
          <w:p>
            <w:pPr>
              <w:adjustRightInd w:val="0"/>
              <w:snapToGrid w:val="0"/>
              <w:spacing w:line="264" w:lineRule="auto"/>
              <w:rPr>
                <w:rFonts w:ascii="黑体" w:hAnsi="黑体" w:eastAsia="黑体" w:cs="黑体"/>
              </w:rPr>
            </w:pPr>
            <w:r>
              <w:rPr>
                <w:rFonts w:hint="eastAsia" w:ascii="仿宋_GB2312" w:eastAsia="仿宋_GB2312"/>
              </w:rPr>
              <w:t>提供中外合作办学项目数、在校生总数。当年专任教师国（境）外访学三个月以上人数，当年在校生国（境）外交流一学期以上累计人数。</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招生就业处</w:t>
            </w:r>
            <w:r>
              <w:rPr>
                <w:rFonts w:hint="eastAsia" w:ascii="仿宋_GB2312" w:hAnsi="黑体" w:eastAsia="仿宋_GB2312" w:cs="黑体"/>
                <w:vertAlign w:val="superscript"/>
              </w:rPr>
              <w:t>10</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1299" w:type="dxa"/>
            <w:vMerge w:val="restart"/>
            <w:vAlign w:val="center"/>
          </w:tcPr>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rPr>
                <w:rFonts w:asciiTheme="minorEastAsia" w:hAnsiTheme="minorEastAsia" w:eastAsiaTheme="minorEastAsia" w:cstheme="minorEastAsia"/>
                <w:bCs/>
              </w:rPr>
            </w:pPr>
          </w:p>
          <w:p>
            <w:pPr>
              <w:pStyle w:val="2"/>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七、坚持目标引领，提升办学保障服务水平</w:t>
            </w:r>
          </w:p>
          <w:p>
            <w:pPr>
              <w:adjustRightInd w:val="0"/>
              <w:snapToGrid w:val="0"/>
              <w:spacing w:line="0" w:lineRule="atLeast"/>
              <w:jc w:val="both"/>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rPr>
                <w:rFonts w:asciiTheme="minorEastAsia" w:hAnsiTheme="minorEastAsia" w:eastAsiaTheme="minorEastAsia" w:cstheme="minorEastAsia"/>
                <w:bCs/>
              </w:rPr>
            </w:pPr>
          </w:p>
          <w:p>
            <w:pPr>
              <w:pStyle w:val="2"/>
              <w:rPr>
                <w:rFonts w:asciiTheme="minorEastAsia" w:hAnsiTheme="minorEastAsia" w:eastAsiaTheme="minorEastAsia" w:cstheme="minorEastAsia"/>
                <w:bCs/>
                <w:sz w:val="24"/>
              </w:rPr>
            </w:pPr>
          </w:p>
          <w:p>
            <w:pPr>
              <w:rPr>
                <w:rFonts w:asciiTheme="minorEastAsia" w:hAnsiTheme="minorEastAsia" w:eastAsiaTheme="minorEastAsia" w:cstheme="minorEastAsia"/>
                <w:bCs/>
              </w:rPr>
            </w:pPr>
          </w:p>
          <w:p>
            <w:pPr>
              <w:pStyle w:val="2"/>
              <w:rPr>
                <w:rFonts w:asciiTheme="minorEastAsia" w:hAnsiTheme="minorEastAsia" w:eastAsiaTheme="minorEastAsia" w:cstheme="minorEastAsia"/>
                <w:bCs/>
              </w:rPr>
            </w:pPr>
          </w:p>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p>
          <w:p>
            <w:pPr>
              <w:adjustRightInd w:val="0"/>
              <w:snapToGrid w:val="0"/>
              <w:spacing w:line="0" w:lineRule="atLeast"/>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七、坚持目标引领，提升办学保障服务水平（续）</w:t>
            </w: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33.提升基础设施水平</w:t>
            </w:r>
          </w:p>
        </w:tc>
        <w:tc>
          <w:tcPr>
            <w:tcW w:w="7761" w:type="dxa"/>
            <w:vAlign w:val="center"/>
          </w:tcPr>
          <w:p>
            <w:pPr>
              <w:adjustRightInd w:val="0"/>
              <w:snapToGrid w:val="0"/>
              <w:spacing w:line="0" w:lineRule="atLeast"/>
              <w:rPr>
                <w:rFonts w:hint="eastAsia" w:ascii="黑体" w:hAnsi="黑体" w:eastAsia="仿宋_GB2312" w:cs="黑体"/>
                <w:lang w:eastAsia="zh-CN"/>
              </w:rPr>
            </w:pPr>
            <w:r>
              <w:rPr>
                <w:rFonts w:hint="eastAsia" w:ascii="仿宋_GB2312" w:eastAsia="仿宋_GB2312"/>
              </w:rPr>
              <w:t>加快推进医护实训楼项目建设，完成主体工程及内部装饰装修，基本达到竣工要求；开工建设滕州市汽车公共实训基地，完成滕州市“双创大厦”（学院学术交流中心）项目前期准备工作，做好技师学院综合楼规划设计等前期准备工作</w:t>
            </w:r>
            <w:r>
              <w:rPr>
                <w:rFonts w:hint="eastAsia" w:ascii="仿宋_GB2312" w:eastAsia="仿宋_GB2312"/>
                <w:lang w:eastAsia="zh-CN"/>
              </w:rPr>
              <w:t>。</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总务基建处</w:t>
            </w:r>
            <w:r>
              <w:rPr>
                <w:rFonts w:hint="eastAsia"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提升教师办公条件，升级改造教学楼陈旧损坏的基础设施、教室内部设施和老旧的学生公寓，改造1号、2号餐厅消防设施，完成体育场复新工程。</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总务基建处</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34.全力推进智慧校园建设</w:t>
            </w:r>
          </w:p>
        </w:tc>
        <w:tc>
          <w:tcPr>
            <w:tcW w:w="7761" w:type="dxa"/>
            <w:vAlign w:val="center"/>
          </w:tcPr>
          <w:p>
            <w:pPr>
              <w:adjustRightInd w:val="0"/>
              <w:snapToGrid w:val="0"/>
              <w:spacing w:line="0" w:lineRule="atLeast"/>
              <w:rPr>
                <w:rFonts w:ascii="黑体" w:hAnsi="黑体" w:eastAsia="黑体" w:cs="黑体"/>
              </w:rPr>
            </w:pPr>
            <w:r>
              <w:rPr>
                <w:rFonts w:hint="eastAsia" w:ascii="仿宋_GB2312" w:hAnsi="黑体" w:eastAsia="仿宋_GB2312" w:cs="黑体"/>
              </w:rPr>
              <w:t>①提供信息化管理与服务覆盖率，在办公、教务、学生、人事、科技、财务、后勤、校企合作等主要管理与服务业务职能中，使用信息化系统的比例。②网络教学覆盖率=网络教学课程数/开设课程总数*100%。</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宣传部</w:t>
            </w:r>
            <w:r>
              <w:rPr>
                <w:rFonts w:hint="eastAsia" w:ascii="仿宋_GB2312" w:hAnsi="黑体" w:eastAsia="仿宋_GB2312" w:cs="黑体"/>
                <w:vertAlign w:val="superscript"/>
              </w:rPr>
              <w:t>2</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（教务处</w:t>
            </w:r>
            <w:r>
              <w:rPr>
                <w:rFonts w:hint="eastAsia" w:ascii="仿宋_GB2312" w:hAnsi="黑体" w:eastAsia="仿宋_GB2312" w:cs="黑体"/>
                <w:vertAlign w:val="superscript"/>
              </w:rPr>
              <w:t>1</w:t>
            </w:r>
            <w:r>
              <w:rPr>
                <w:rFonts w:ascii="仿宋_GB2312" w:hAnsi="黑体" w:eastAsia="仿宋_GB2312" w:cs="黑体"/>
                <w:vertAlign w:val="superscript"/>
              </w:rPr>
              <w:t>4</w:t>
            </w:r>
            <w:r>
              <w:rPr>
                <w:rFonts w:hint="eastAsia" w:ascii="仿宋_GB2312" w:hAnsi="黑体" w:eastAsia="仿宋_GB2312" w:cs="黑体"/>
              </w:rPr>
              <w:t>）</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35.加强财务和审计管理</w:t>
            </w:r>
          </w:p>
        </w:tc>
        <w:tc>
          <w:tcPr>
            <w:tcW w:w="7761" w:type="dxa"/>
            <w:vAlign w:val="center"/>
          </w:tcPr>
          <w:p>
            <w:pPr>
              <w:adjustRightInd w:val="0"/>
              <w:snapToGrid w:val="0"/>
              <w:spacing w:line="0" w:lineRule="atLeast"/>
              <w:rPr>
                <w:rFonts w:hint="eastAsia" w:ascii="黑体" w:hAnsi="黑体" w:eastAsia="仿宋_GB2312" w:cs="黑体"/>
                <w:lang w:eastAsia="zh-CN"/>
              </w:rPr>
            </w:pPr>
            <w:r>
              <w:rPr>
                <w:rFonts w:hint="eastAsia" w:ascii="仿宋_GB2312" w:eastAsia="仿宋_GB2312"/>
              </w:rPr>
              <w:t>提供年度学校预决算公开、绩效目标编制、运行监控和绩效自评情况，制定财务管理制度和财政资金使用情况等；2.学校当年度预算编制和支出情况</w:t>
            </w:r>
            <w:r>
              <w:rPr>
                <w:rFonts w:hint="eastAsia" w:ascii="仿宋_GB2312" w:eastAsia="仿宋_GB2312"/>
                <w:lang w:eastAsia="zh-CN"/>
              </w:rPr>
              <w:t>。</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财务处</w:t>
            </w:r>
            <w:r>
              <w:rPr>
                <w:rFonts w:hint="eastAsia"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抓实内部控制和会计基础建设，力争通过会计基础工作规范化省级考核验收；扎实做好审计整改，全面完成审计反馈问题整改任务。</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财务处</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36.抓好平安校园建设</w:t>
            </w:r>
          </w:p>
        </w:tc>
        <w:tc>
          <w:tcPr>
            <w:tcW w:w="7761" w:type="dxa"/>
            <w:vAlign w:val="center"/>
          </w:tcPr>
          <w:p>
            <w:pPr>
              <w:adjustRightInd w:val="0"/>
              <w:snapToGrid w:val="0"/>
              <w:spacing w:line="0" w:lineRule="atLeast"/>
              <w:rPr>
                <w:rFonts w:ascii="黑体" w:hAnsi="黑体" w:eastAsia="黑体" w:cs="黑体"/>
              </w:rPr>
            </w:pPr>
            <w:r>
              <w:rPr>
                <w:rFonts w:hint="eastAsia" w:ascii="仿宋_GB2312" w:eastAsia="仿宋_GB2312"/>
              </w:rPr>
              <w:t>落实安全“六个”狠抓要求，抓实“三防”措施，加大隐患排查力度，完善长效机制</w:t>
            </w:r>
            <w:r>
              <w:rPr>
                <w:rFonts w:hint="eastAsia" w:ascii="仿宋_GB2312" w:eastAsia="仿宋_GB2312"/>
                <w:lang w:eastAsia="zh-CN"/>
              </w:rPr>
              <w:t>。</w:t>
            </w:r>
            <w:r>
              <w:rPr>
                <w:rFonts w:ascii="黑体" w:hAnsi="黑体" w:eastAsia="黑体" w:cs="黑体"/>
              </w:rPr>
              <w:t xml:space="preserve"> </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安全保卫处</w:t>
            </w:r>
            <w:r>
              <w:rPr>
                <w:rFonts w:hint="eastAsia"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tcBorders>
              <w:bottom w:val="single" w:color="auto" w:sz="4" w:space="0"/>
            </w:tcBorders>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0" w:lineRule="atLeast"/>
              <w:rPr>
                <w:rFonts w:hint="eastAsia" w:ascii="仿宋_GB2312" w:eastAsia="仿宋_GB2312"/>
                <w:lang w:eastAsia="zh-CN"/>
              </w:rPr>
            </w:pPr>
            <w:r>
              <w:rPr>
                <w:rFonts w:hint="eastAsia" w:ascii="仿宋_GB2312" w:eastAsia="仿宋_GB2312"/>
              </w:rPr>
              <w:t>强化校门、教学楼门、宿舍楼门管理，外来车辆人员登记备案，在敏感时间段、重要时间节点实行临时封校管理，严禁商业广告、有害app进校园</w:t>
            </w:r>
            <w:r>
              <w:rPr>
                <w:rFonts w:hint="eastAsia" w:ascii="仿宋_GB2312" w:eastAsia="仿宋_GB2312"/>
                <w:lang w:eastAsia="zh-CN"/>
              </w:rPr>
              <w:t>。</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安全保卫处</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tcBorders>
              <w:bottom w:val="single" w:color="auto" w:sz="4" w:space="0"/>
            </w:tcBorders>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37.大力提升校园生活服务水平</w:t>
            </w:r>
          </w:p>
        </w:tc>
        <w:tc>
          <w:tcPr>
            <w:tcW w:w="7761" w:type="dxa"/>
            <w:vAlign w:val="center"/>
          </w:tcPr>
          <w:p>
            <w:pPr>
              <w:adjustRightInd w:val="0"/>
              <w:snapToGrid w:val="0"/>
              <w:spacing w:line="0" w:lineRule="atLeast"/>
              <w:rPr>
                <w:rFonts w:ascii="黑体" w:hAnsi="黑体" w:eastAsia="黑体" w:cs="黑体"/>
              </w:rPr>
            </w:pPr>
            <w:r>
              <w:rPr>
                <w:rFonts w:hint="eastAsia" w:ascii="仿宋_GB2312" w:eastAsia="仿宋_GB2312"/>
              </w:rPr>
              <w:t>强化物业监管和服务水平，加强校园超市、洗浴中心等服务机构管理，保障水电暖供应与安全，为师生提供质优价廉服务；加强餐饮服务管理，落实“日检查、周例会、月测评、常督促”工作标准，控制饭菜价格、保证餐饮质量。</w:t>
            </w:r>
            <w:r>
              <w:rPr>
                <w:rFonts w:hint="eastAsia" w:ascii="黑体" w:hAnsi="黑体" w:eastAsia="黑体" w:cs="黑体"/>
              </w:rPr>
              <w:t xml:space="preserve"> </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总务（基建）处</w:t>
            </w:r>
            <w:r>
              <w:rPr>
                <w:rFonts w:hint="eastAsia" w:ascii="仿宋_GB2312" w:hAnsi="黑体" w:eastAsia="仿宋_GB2312" w:cs="黑体"/>
                <w:vertAlign w:val="superscript"/>
              </w:rPr>
              <w:t>3</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tcBorders>
              <w:top w:val="single" w:color="auto" w:sz="4" w:space="0"/>
            </w:tcBorders>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38. 统筹推进新冠肺炎疫情防控和学校事业发展情况</w:t>
            </w: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认真落实疫情防控要求，守护师生生命健康，确保校园安全，按照省委省政府统一部署及时组织学生开学返校，全面恢复教育教学秩序，加强常态化防控。</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办公室</w:t>
            </w:r>
            <w:r>
              <w:rPr>
                <w:rFonts w:hint="eastAsia" w:ascii="仿宋_GB2312" w:hAnsi="黑体" w:eastAsia="仿宋_GB2312" w:cs="黑体"/>
                <w:vertAlign w:val="superscript"/>
              </w:rPr>
              <w:t>3</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附属医院</w:t>
            </w:r>
            <w:r>
              <w:rPr>
                <w:rFonts w:hint="eastAsia"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129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八、坚持全面从严，加强新时代党的建设</w:t>
            </w: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39.加强思想政治建设</w:t>
            </w:r>
          </w:p>
        </w:tc>
        <w:tc>
          <w:tcPr>
            <w:tcW w:w="7761" w:type="dxa"/>
            <w:vAlign w:val="center"/>
          </w:tcPr>
          <w:p>
            <w:pPr>
              <w:adjustRightInd w:val="0"/>
              <w:snapToGrid w:val="0"/>
              <w:spacing w:line="0" w:lineRule="atLeast"/>
              <w:rPr>
                <w:rFonts w:hint="eastAsia" w:ascii="黑体" w:hAnsi="黑体" w:eastAsia="仿宋_GB2312" w:cs="黑体"/>
                <w:lang w:eastAsia="zh-CN"/>
              </w:rPr>
            </w:pPr>
            <w:r>
              <w:rPr>
                <w:rFonts w:hint="eastAsia" w:ascii="仿宋_GB2312" w:eastAsia="仿宋_GB2312"/>
              </w:rPr>
              <w:t>深入学习贯彻党的十九届四中全会精神，持续提升党员干部理论武装水平；巩固“不忘初心、牢记使命”主题教育成果，深入推进“两学一做”学习教育常态化制度化</w:t>
            </w:r>
            <w:r>
              <w:rPr>
                <w:rFonts w:hint="eastAsia" w:ascii="仿宋_GB2312" w:eastAsia="仿宋_GB2312"/>
                <w:lang w:eastAsia="zh-CN"/>
              </w:rPr>
              <w:t>。</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组织人事部</w:t>
            </w:r>
            <w:r>
              <w:rPr>
                <w:rFonts w:hint="eastAsia" w:ascii="仿宋_GB2312" w:hAnsi="黑体" w:eastAsia="仿宋_GB2312" w:cs="黑体"/>
                <w:vertAlign w:val="superscript"/>
              </w:rPr>
              <w:t>12</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continue"/>
            <w:vAlign w:val="center"/>
          </w:tcPr>
          <w:p>
            <w:pPr>
              <w:adjustRightInd w:val="0"/>
              <w:snapToGrid w:val="0"/>
              <w:spacing w:line="0" w:lineRule="atLeast"/>
              <w:jc w:val="center"/>
              <w:rPr>
                <w:rFonts w:asciiTheme="minorEastAsia" w:hAnsiTheme="minorEastAsia" w:eastAsiaTheme="minorEastAsia" w:cstheme="minorEastAsia"/>
                <w:bCs/>
              </w:rPr>
            </w:pP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全面落实意识形态工作责任制，落实意识形态工作部门绩效考核、干部述职和评优晋级要求，严格落实“一事一报”制度，落实舆情“6个第一”工作标准，切实扛起党管意识形态、党管宣传舆论的政治责任</w:t>
            </w:r>
            <w:r>
              <w:rPr>
                <w:rFonts w:hint="eastAsia" w:ascii="仿宋_GB2312" w:eastAsia="仿宋_GB2312"/>
                <w:lang w:eastAsia="zh-CN"/>
              </w:rPr>
              <w:t>。</w:t>
            </w:r>
            <w:r>
              <w:rPr>
                <w:rFonts w:ascii="仿宋_GB2312" w:eastAsia="仿宋_GB2312"/>
              </w:rPr>
              <w:t xml:space="preserve"> </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宣传部</w:t>
            </w:r>
            <w:r>
              <w:rPr>
                <w:rFonts w:hint="eastAsia" w:ascii="仿宋_GB2312" w:hAnsi="黑体" w:eastAsia="仿宋_GB2312" w:cs="黑体"/>
                <w:vertAlign w:val="superscript"/>
              </w:rPr>
              <w:t>3</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40.加强基层组织建设</w:t>
            </w:r>
          </w:p>
        </w:tc>
        <w:tc>
          <w:tcPr>
            <w:tcW w:w="7761" w:type="dxa"/>
            <w:vAlign w:val="center"/>
          </w:tcPr>
          <w:p>
            <w:pPr>
              <w:adjustRightInd w:val="0"/>
              <w:snapToGrid w:val="0"/>
              <w:spacing w:line="0" w:lineRule="atLeast"/>
              <w:rPr>
                <w:rFonts w:hint="eastAsia" w:ascii="黑体" w:hAnsi="黑体" w:eastAsia="仿宋_GB2312" w:cs="黑体"/>
                <w:lang w:eastAsia="zh-CN"/>
              </w:rPr>
            </w:pPr>
            <w:r>
              <w:rPr>
                <w:rFonts w:hint="eastAsia" w:ascii="仿宋_GB2312" w:eastAsia="仿宋_GB2312"/>
              </w:rPr>
              <w:t>落实落细学院基层党建工作规范化建设巩固提升年（2020年）任务目标，持续推进基层党组织规范化建设</w:t>
            </w:r>
            <w:r>
              <w:rPr>
                <w:rFonts w:hint="eastAsia" w:ascii="仿宋_GB2312" w:eastAsia="仿宋_GB2312"/>
                <w:lang w:eastAsia="zh-CN"/>
              </w:rPr>
              <w:t>。</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组织人事部</w:t>
            </w:r>
            <w:r>
              <w:rPr>
                <w:rFonts w:hint="eastAsia" w:ascii="仿宋_GB2312" w:hAnsi="黑体" w:eastAsia="仿宋_GB2312" w:cs="黑体"/>
                <w:vertAlign w:val="superscript"/>
              </w:rPr>
              <w:t>13</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99" w:type="dxa"/>
            <w:vMerge w:val="continue"/>
            <w:vAlign w:val="center"/>
          </w:tcPr>
          <w:p>
            <w:pPr>
              <w:adjustRightInd w:val="0"/>
              <w:snapToGrid w:val="0"/>
              <w:spacing w:line="0" w:lineRule="atLeast"/>
              <w:jc w:val="both"/>
              <w:rPr>
                <w:rFonts w:asciiTheme="minorEastAsia" w:hAnsiTheme="minorEastAsia" w:eastAsiaTheme="minorEastAsia" w:cstheme="minorEastAsia"/>
                <w:bCs/>
              </w:rPr>
            </w:pPr>
          </w:p>
        </w:tc>
        <w:tc>
          <w:tcPr>
            <w:tcW w:w="1829" w:type="dxa"/>
            <w:vMerge w:val="restart"/>
            <w:vAlign w:val="center"/>
          </w:tcPr>
          <w:p>
            <w:pPr>
              <w:adjustRightInd w:val="0"/>
              <w:snapToGrid w:val="0"/>
              <w:spacing w:line="0" w:lineRule="atLeast"/>
              <w:jc w:val="center"/>
              <w:rPr>
                <w:rFonts w:asciiTheme="minorEastAsia" w:hAnsiTheme="minorEastAsia" w:eastAsiaTheme="minorEastAsia" w:cstheme="minorEastAsia"/>
                <w:bCs/>
              </w:rPr>
            </w:pPr>
          </w:p>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41.加强党员干部作风建设</w:t>
            </w:r>
          </w:p>
        </w:tc>
        <w:tc>
          <w:tcPr>
            <w:tcW w:w="7761" w:type="dxa"/>
            <w:vAlign w:val="center"/>
          </w:tcPr>
          <w:p>
            <w:pPr>
              <w:adjustRightInd w:val="0"/>
              <w:snapToGrid w:val="0"/>
              <w:spacing w:line="0" w:lineRule="atLeast"/>
              <w:rPr>
                <w:rFonts w:ascii="黑体" w:hAnsi="黑体" w:eastAsia="黑体" w:cs="黑体"/>
              </w:rPr>
            </w:pPr>
            <w:r>
              <w:rPr>
                <w:rFonts w:hint="eastAsia" w:ascii="仿宋_GB2312" w:eastAsia="仿宋_GB2312"/>
              </w:rPr>
              <w:t>认真落实中央八项规定及实施细则精神，下大力气改进作风，精简文件、压缩会议，加强督查督办，提高工作效能。</w:t>
            </w:r>
            <w:r>
              <w:rPr>
                <w:rFonts w:hint="eastAsia" w:ascii="黑体" w:hAnsi="黑体" w:eastAsia="黑体" w:cs="黑体"/>
              </w:rPr>
              <w:t xml:space="preserve"> </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组织人事部</w:t>
            </w:r>
            <w:r>
              <w:rPr>
                <w:rFonts w:hint="eastAsia" w:ascii="仿宋_GB2312" w:hAnsi="黑体" w:eastAsia="仿宋_GB2312" w:cs="黑体"/>
                <w:vertAlign w:val="superscript"/>
              </w:rPr>
              <w:t>14</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办公室</w:t>
            </w:r>
            <w:r>
              <w:rPr>
                <w:rFonts w:hint="eastAsia" w:ascii="仿宋_GB2312" w:hAnsi="黑体" w:eastAsia="仿宋_GB2312" w:cs="黑体"/>
                <w:vertAlign w:val="superscript"/>
              </w:rPr>
              <w:t>4</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9" w:type="dxa"/>
            <w:vMerge w:val="continue"/>
            <w:vAlign w:val="center"/>
          </w:tcPr>
          <w:p>
            <w:pPr>
              <w:adjustRightInd w:val="0"/>
              <w:snapToGrid w:val="0"/>
              <w:spacing w:line="0" w:lineRule="atLeast"/>
              <w:jc w:val="both"/>
              <w:rPr>
                <w:rFonts w:ascii="仿宋_GB2312" w:eastAsia="仿宋_GB2312"/>
                <w:b/>
              </w:rPr>
            </w:pPr>
          </w:p>
        </w:tc>
        <w:tc>
          <w:tcPr>
            <w:tcW w:w="1829" w:type="dxa"/>
            <w:vMerge w:val="continue"/>
            <w:vAlign w:val="center"/>
          </w:tcPr>
          <w:p>
            <w:pPr>
              <w:adjustRightInd w:val="0"/>
              <w:snapToGrid w:val="0"/>
              <w:spacing w:line="0" w:lineRule="atLeast"/>
              <w:jc w:val="center"/>
              <w:rPr>
                <w:rFonts w:ascii="仿宋_GB2312" w:eastAsia="仿宋_GB2312"/>
                <w:b/>
              </w:rPr>
            </w:pPr>
          </w:p>
        </w:tc>
        <w:tc>
          <w:tcPr>
            <w:tcW w:w="7761" w:type="dxa"/>
            <w:vAlign w:val="center"/>
          </w:tcPr>
          <w:p>
            <w:pPr>
              <w:adjustRightInd w:val="0"/>
              <w:snapToGrid w:val="0"/>
              <w:spacing w:line="0" w:lineRule="atLeast"/>
              <w:rPr>
                <w:rFonts w:ascii="仿宋_GB2312" w:eastAsia="仿宋_GB2312"/>
              </w:rPr>
            </w:pPr>
            <w:r>
              <w:rPr>
                <w:rFonts w:hint="eastAsia" w:ascii="仿宋_GB2312" w:eastAsia="仿宋_GB2312"/>
              </w:rPr>
              <w:t>落实重点项目（中心工作）推进机制，实行问责问效，实行定期调度、亮牌警示等节点管控措施。</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办公室</w:t>
            </w:r>
            <w:r>
              <w:rPr>
                <w:rFonts w:hint="eastAsia" w:ascii="仿宋_GB2312" w:hAnsi="黑体" w:eastAsia="仿宋_GB2312" w:cs="黑体"/>
                <w:vertAlign w:val="superscript"/>
              </w:rPr>
              <w:t>5</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纪委办公室</w:t>
            </w:r>
            <w:r>
              <w:rPr>
                <w:rFonts w:hint="eastAsia" w:ascii="仿宋_GB2312" w:hAnsi="黑体" w:eastAsia="仿宋_GB2312" w:cs="黑体"/>
                <w:vertAlign w:val="superscript"/>
              </w:rPr>
              <w:t>1</w:t>
            </w:r>
          </w:p>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教学督导室</w:t>
            </w:r>
            <w:r>
              <w:rPr>
                <w:rFonts w:hint="eastAsia" w:ascii="仿宋_GB2312" w:hAnsi="黑体" w:eastAsia="仿宋_GB2312" w:cs="黑体"/>
                <w:vertAlign w:val="superscript"/>
              </w:rPr>
              <w:t>5</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1299" w:type="dxa"/>
            <w:vMerge w:val="continue"/>
            <w:vAlign w:val="center"/>
          </w:tcPr>
          <w:p>
            <w:pPr>
              <w:adjustRightInd w:val="0"/>
              <w:snapToGrid w:val="0"/>
              <w:spacing w:line="0" w:lineRule="atLeast"/>
              <w:jc w:val="both"/>
              <w:rPr>
                <w:rFonts w:ascii="仿宋_GB2312" w:eastAsia="仿宋_GB2312"/>
                <w:b/>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42.扎实推进党风廉政建设</w:t>
            </w:r>
          </w:p>
        </w:tc>
        <w:tc>
          <w:tcPr>
            <w:tcW w:w="7761" w:type="dxa"/>
            <w:vAlign w:val="center"/>
          </w:tcPr>
          <w:p>
            <w:pPr>
              <w:adjustRightInd w:val="0"/>
              <w:snapToGrid w:val="0"/>
              <w:spacing w:line="0" w:lineRule="atLeast"/>
              <w:rPr>
                <w:rFonts w:ascii="黑体" w:hAnsi="黑体" w:eastAsia="黑体" w:cs="黑体"/>
              </w:rPr>
            </w:pPr>
            <w:r>
              <w:rPr>
                <w:rFonts w:hint="eastAsia" w:ascii="仿宋_GB2312" w:eastAsia="仿宋_GB2312"/>
              </w:rPr>
              <w:t>加强对基层党组织和党员干部的监督，运用监督执纪“四种形态”，加强对重点部位、关键岗位、重点环节权利行使的监督。</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纪委办公室</w:t>
            </w:r>
            <w:r>
              <w:rPr>
                <w:rFonts w:hint="eastAsia" w:ascii="仿宋_GB2312" w:hAnsi="黑体" w:eastAsia="仿宋_GB2312" w:cs="黑体"/>
                <w:vertAlign w:val="superscript"/>
              </w:rPr>
              <w:t>2</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299" w:type="dxa"/>
            <w:vMerge w:val="continue"/>
            <w:vAlign w:val="center"/>
          </w:tcPr>
          <w:p>
            <w:pPr>
              <w:adjustRightInd w:val="0"/>
              <w:snapToGrid w:val="0"/>
              <w:spacing w:line="0" w:lineRule="atLeast"/>
              <w:jc w:val="both"/>
              <w:rPr>
                <w:rFonts w:ascii="仿宋_GB2312" w:eastAsia="仿宋_GB2312"/>
                <w:b/>
              </w:rPr>
            </w:pPr>
          </w:p>
        </w:tc>
        <w:tc>
          <w:tcPr>
            <w:tcW w:w="1829" w:type="dxa"/>
            <w:vAlign w:val="center"/>
          </w:tcPr>
          <w:p>
            <w:pPr>
              <w:adjustRightInd w:val="0"/>
              <w:snapToGrid w:val="0"/>
              <w:spacing w:line="0" w:lineRule="atLeas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43.加强校园文化建设</w:t>
            </w:r>
          </w:p>
        </w:tc>
        <w:tc>
          <w:tcPr>
            <w:tcW w:w="7761" w:type="dxa"/>
            <w:vAlign w:val="center"/>
          </w:tcPr>
          <w:p>
            <w:pPr>
              <w:adjustRightInd w:val="0"/>
              <w:snapToGrid w:val="0"/>
              <w:spacing w:line="0" w:lineRule="atLeast"/>
              <w:rPr>
                <w:rFonts w:ascii="黑体" w:hAnsi="黑体" w:eastAsia="仿宋_GB2312" w:cs="黑体"/>
              </w:rPr>
            </w:pPr>
            <w:r>
              <w:rPr>
                <w:rFonts w:hint="eastAsia" w:ascii="仿宋_GB2312" w:eastAsia="仿宋_GB2312"/>
              </w:rPr>
              <w:t>抓好墨子职业教育研究会和学院职业教育研究院工作，加强墨子创新精神和鲁班工匠精神的实践研究，打造匠心文化。</w:t>
            </w:r>
          </w:p>
        </w:tc>
        <w:tc>
          <w:tcPr>
            <w:tcW w:w="1673" w:type="dxa"/>
            <w:vAlign w:val="center"/>
          </w:tcPr>
          <w:p>
            <w:pPr>
              <w:adjustRightInd w:val="0"/>
              <w:snapToGrid w:val="0"/>
              <w:spacing w:line="0" w:lineRule="atLeast"/>
              <w:jc w:val="center"/>
              <w:rPr>
                <w:rFonts w:ascii="仿宋_GB2312" w:hAnsi="黑体" w:eastAsia="仿宋_GB2312" w:cs="黑体"/>
              </w:rPr>
            </w:pPr>
            <w:r>
              <w:rPr>
                <w:rFonts w:hint="eastAsia" w:ascii="仿宋_GB2312" w:hAnsi="黑体" w:eastAsia="仿宋_GB2312" w:cs="黑体"/>
              </w:rPr>
              <w:t>图书馆</w:t>
            </w:r>
            <w:r>
              <w:rPr>
                <w:rFonts w:hint="eastAsia" w:ascii="仿宋_GB2312" w:hAnsi="黑体" w:eastAsia="仿宋_GB2312" w:cs="黑体"/>
                <w:vertAlign w:val="superscript"/>
              </w:rPr>
              <w:t>1</w:t>
            </w:r>
          </w:p>
        </w:tc>
        <w:tc>
          <w:tcPr>
            <w:tcW w:w="1845" w:type="dxa"/>
            <w:vMerge w:val="continue"/>
            <w:vAlign w:val="center"/>
          </w:tcPr>
          <w:p>
            <w:pPr>
              <w:adjustRightInd w:val="0"/>
              <w:snapToGrid w:val="0"/>
              <w:spacing w:line="0" w:lineRule="atLeast"/>
              <w:jc w:val="center"/>
              <w:rPr>
                <w:rFonts w:ascii="仿宋_GB2312" w:hAnsi="黑体" w:eastAsia="仿宋_GB2312" w:cs="黑体"/>
              </w:rPr>
            </w:pPr>
          </w:p>
        </w:tc>
      </w:tr>
    </w:tbl>
    <w:p>
      <w:pPr>
        <w:keepNext w:val="0"/>
        <w:keepLines w:val="0"/>
        <w:pageBreakBefore w:val="0"/>
        <w:widowControl w:val="0"/>
        <w:kinsoku/>
        <w:wordWrap/>
        <w:overflowPunct/>
        <w:topLinePunct w:val="0"/>
        <w:autoSpaceDE/>
        <w:autoSpaceDN/>
        <w:bidi w:val="0"/>
        <w:spacing w:line="600" w:lineRule="exact"/>
        <w:textAlignment w:val="auto"/>
        <w:rPr>
          <w:rFonts w:ascii="黑体" w:hAnsi="黑体" w:eastAsia="黑体"/>
          <w:b w:val="0"/>
          <w:bCs w:val="0"/>
          <w:sz w:val="32"/>
          <w:szCs w:val="32"/>
        </w:rPr>
      </w:pPr>
      <w:r>
        <w:rPr>
          <w:rFonts w:hint="eastAsia" w:ascii="黑体" w:hAnsi="黑体" w:eastAsia="黑体"/>
          <w:b w:val="0"/>
          <w:bCs w:val="0"/>
          <w:sz w:val="32"/>
          <w:szCs w:val="32"/>
        </w:rPr>
        <w:t>附件4</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华文中宋" w:hAnsi="华文中宋" w:eastAsia="华文中宋"/>
          <w:b/>
          <w:sz w:val="36"/>
          <w:szCs w:val="36"/>
        </w:rPr>
      </w:pPr>
      <w:r>
        <w:rPr>
          <w:rFonts w:hint="eastAsia" w:ascii="方正小标宋简体" w:hAnsi="方正小标宋_GBK" w:eastAsia="方正小标宋简体" w:cs="方正小标宋_GBK"/>
          <w:bCs/>
          <w:color w:val="000000"/>
          <w:kern w:val="0"/>
          <w:sz w:val="44"/>
          <w:szCs w:val="44"/>
          <w:lang w:val="en-US" w:eastAsia="zh-CN"/>
        </w:rPr>
        <w:t>职能部门加分项与减分项指标</w:t>
      </w:r>
    </w:p>
    <w:p>
      <w:pPr>
        <w:pStyle w:val="2"/>
      </w:pPr>
    </w:p>
    <w:tbl>
      <w:tblPr>
        <w:tblStyle w:val="7"/>
        <w:tblW w:w="14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4" w:type="dxa"/>
          <w:left w:w="108" w:type="dxa"/>
          <w:bottom w:w="34" w:type="dxa"/>
          <w:right w:w="108" w:type="dxa"/>
        </w:tblCellMar>
      </w:tblPr>
      <w:tblGrid>
        <w:gridCol w:w="1531"/>
        <w:gridCol w:w="1744"/>
        <w:gridCol w:w="9292"/>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Align w:val="center"/>
          </w:tcPr>
          <w:p>
            <w:pPr>
              <w:spacing w:before="69" w:beforeLines="20" w:after="69" w:afterLines="20"/>
              <w:jc w:val="center"/>
              <w:rPr>
                <w:rFonts w:ascii="黑体" w:hAnsi="黑体" w:eastAsia="黑体"/>
              </w:rPr>
            </w:pPr>
            <w:r>
              <w:rPr>
                <w:rFonts w:hint="eastAsia" w:ascii="黑体" w:hAnsi="黑体" w:eastAsia="黑体"/>
              </w:rPr>
              <w:t>一级指标</w:t>
            </w:r>
          </w:p>
        </w:tc>
        <w:tc>
          <w:tcPr>
            <w:tcW w:w="1744" w:type="dxa"/>
            <w:vAlign w:val="center"/>
          </w:tcPr>
          <w:p>
            <w:pPr>
              <w:spacing w:before="69" w:beforeLines="20" w:after="69" w:afterLines="20"/>
              <w:jc w:val="center"/>
              <w:rPr>
                <w:rFonts w:ascii="黑体" w:hAnsi="黑体" w:eastAsia="黑体"/>
              </w:rPr>
            </w:pPr>
            <w:r>
              <w:rPr>
                <w:rFonts w:hint="eastAsia" w:ascii="黑体" w:hAnsi="黑体" w:eastAsia="黑体"/>
              </w:rPr>
              <w:t>二级指标</w:t>
            </w:r>
          </w:p>
        </w:tc>
        <w:tc>
          <w:tcPr>
            <w:tcW w:w="9292" w:type="dxa"/>
            <w:vAlign w:val="center"/>
          </w:tcPr>
          <w:p>
            <w:pPr>
              <w:spacing w:before="69" w:beforeLines="20" w:after="69" w:afterLines="20"/>
              <w:ind w:left="106"/>
              <w:jc w:val="center"/>
              <w:rPr>
                <w:rFonts w:ascii="黑体" w:hAnsi="黑体" w:eastAsia="黑体"/>
              </w:rPr>
            </w:pPr>
            <w:r>
              <w:rPr>
                <w:rFonts w:hint="eastAsia" w:ascii="黑体" w:hAnsi="黑体" w:eastAsia="黑体"/>
              </w:rPr>
              <w:t>主要观测点</w:t>
            </w:r>
          </w:p>
        </w:tc>
        <w:tc>
          <w:tcPr>
            <w:tcW w:w="1752" w:type="dxa"/>
            <w:vAlign w:val="center"/>
          </w:tcPr>
          <w:p>
            <w:pPr>
              <w:spacing w:before="69" w:beforeLines="20" w:after="69" w:afterLines="20"/>
              <w:jc w:val="center"/>
              <w:rPr>
                <w:rFonts w:ascii="黑体" w:hAnsi="黑体" w:eastAsia="黑体"/>
              </w:rPr>
            </w:pPr>
            <w:r>
              <w:rPr>
                <w:rFonts w:hint="eastAsia" w:ascii="黑体" w:hAnsi="黑体" w:eastAsia="黑体"/>
              </w:rPr>
              <w:t>认定单位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Merge w:val="restart"/>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加分项</w:t>
            </w:r>
          </w:p>
          <w:p>
            <w:pPr>
              <w:adjustRightInd w:val="0"/>
              <w:snapToGrid w:val="0"/>
              <w:spacing w:line="28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减分项</w:t>
            </w:r>
          </w:p>
        </w:tc>
        <w:tc>
          <w:tcPr>
            <w:tcW w:w="1744" w:type="dxa"/>
            <w:vMerge w:val="restart"/>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加分事项</w:t>
            </w:r>
          </w:p>
          <w:p>
            <w:pPr>
              <w:adjustRightInd w:val="0"/>
              <w:snapToGrid w:val="0"/>
              <w:spacing w:line="28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（最高得</w:t>
            </w:r>
          </w:p>
          <w:p>
            <w:pPr>
              <w:adjustRightInd w:val="0"/>
              <w:snapToGrid w:val="0"/>
              <w:spacing w:line="280" w:lineRule="exact"/>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zCs w:val="21"/>
              </w:rPr>
              <w:t>２0分）</w:t>
            </w:r>
          </w:p>
        </w:tc>
        <w:tc>
          <w:tcPr>
            <w:tcW w:w="9292" w:type="dxa"/>
            <w:vAlign w:val="center"/>
          </w:tcPr>
          <w:p>
            <w:pPr>
              <w:adjustRightInd w:val="0"/>
              <w:snapToGrid w:val="0"/>
              <w:spacing w:line="280" w:lineRule="exact"/>
              <w:jc w:val="both"/>
              <w:rPr>
                <w:rFonts w:ascii="仿宋_GB2312" w:hAnsi="宋体" w:eastAsia="仿宋_GB2312"/>
                <w:color w:val="000000"/>
                <w:spacing w:val="-6"/>
              </w:rPr>
            </w:pPr>
            <w:r>
              <w:rPr>
                <w:rFonts w:hint="eastAsia" w:ascii="仿宋_GB2312" w:hAnsi="宋体" w:eastAsia="仿宋_GB2312"/>
                <w:color w:val="000000"/>
                <w:spacing w:val="-6"/>
              </w:rPr>
              <w:t>为学院创造重大经济效益，年创收50万元，加４分；</w:t>
            </w:r>
          </w:p>
        </w:tc>
        <w:tc>
          <w:tcPr>
            <w:tcW w:w="1752" w:type="dxa"/>
            <w:vAlign w:val="center"/>
          </w:tcPr>
          <w:p>
            <w:pPr>
              <w:adjustRightInd w:val="0"/>
              <w:snapToGrid w:val="0"/>
              <w:spacing w:line="280" w:lineRule="exact"/>
              <w:jc w:val="center"/>
              <w:rPr>
                <w:rFonts w:hint="eastAsia" w:asciiTheme="minorEastAsia" w:hAnsiTheme="minorEastAsia" w:eastAsiaTheme="minorEastAsia" w:cstheme="minorEastAsia"/>
                <w:bCs/>
                <w:color w:val="000000"/>
                <w:spacing w:val="-17"/>
                <w:szCs w:val="21"/>
              </w:rPr>
            </w:pPr>
            <w:r>
              <w:rPr>
                <w:rFonts w:hint="eastAsia" w:asciiTheme="minorEastAsia" w:hAnsiTheme="minorEastAsia" w:eastAsiaTheme="minorEastAsia" w:cstheme="minorEastAsia"/>
                <w:bCs/>
                <w:color w:val="000000"/>
                <w:spacing w:val="-17"/>
                <w:szCs w:val="21"/>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Merge w:val="continue"/>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p>
        </w:tc>
        <w:tc>
          <w:tcPr>
            <w:tcW w:w="1744" w:type="dxa"/>
            <w:vMerge w:val="continue"/>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p>
        </w:tc>
        <w:tc>
          <w:tcPr>
            <w:tcW w:w="9292" w:type="dxa"/>
            <w:vAlign w:val="center"/>
          </w:tcPr>
          <w:p>
            <w:pPr>
              <w:adjustRightInd w:val="0"/>
              <w:snapToGrid w:val="0"/>
              <w:spacing w:line="280" w:lineRule="exact"/>
              <w:jc w:val="both"/>
              <w:rPr>
                <w:rFonts w:ascii="仿宋_GB2312" w:hAnsi="宋体" w:eastAsia="仿宋_GB2312"/>
                <w:color w:val="000000"/>
              </w:rPr>
            </w:pPr>
            <w:r>
              <w:rPr>
                <w:rFonts w:hint="eastAsia" w:ascii="仿宋_GB2312" w:hAnsi="宋体" w:eastAsia="仿宋_GB2312"/>
                <w:color w:val="000000"/>
              </w:rPr>
              <w:t>部门工作经验引起国家相关部委关注，在全国推广，加4分；部门工作经验引起省级相关厅局关注，在全省推广，加3分；</w:t>
            </w:r>
          </w:p>
        </w:tc>
        <w:tc>
          <w:tcPr>
            <w:tcW w:w="1752" w:type="dxa"/>
            <w:vAlign w:val="center"/>
          </w:tcPr>
          <w:p>
            <w:pPr>
              <w:adjustRightInd w:val="0"/>
              <w:snapToGrid w:val="0"/>
              <w:spacing w:line="280" w:lineRule="exact"/>
              <w:jc w:val="center"/>
              <w:rPr>
                <w:rFonts w:hint="eastAsia" w:asciiTheme="minorEastAsia" w:hAnsiTheme="minorEastAsia" w:eastAsiaTheme="minorEastAsia" w:cstheme="minorEastAsia"/>
                <w:bCs/>
                <w:color w:val="000000"/>
                <w:spacing w:val="-17"/>
                <w:szCs w:val="21"/>
              </w:rPr>
            </w:pPr>
            <w:r>
              <w:rPr>
                <w:rFonts w:hint="eastAsia" w:asciiTheme="minorEastAsia" w:hAnsiTheme="minorEastAsia" w:eastAsiaTheme="minorEastAsia" w:cstheme="minorEastAsia"/>
                <w:bCs/>
                <w:color w:val="000000"/>
                <w:spacing w:val="-17"/>
                <w:szCs w:val="21"/>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Merge w:val="continue"/>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p>
        </w:tc>
        <w:tc>
          <w:tcPr>
            <w:tcW w:w="1744" w:type="dxa"/>
            <w:vMerge w:val="continue"/>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p>
        </w:tc>
        <w:tc>
          <w:tcPr>
            <w:tcW w:w="9292" w:type="dxa"/>
            <w:vAlign w:val="center"/>
          </w:tcPr>
          <w:p>
            <w:pPr>
              <w:spacing w:line="280" w:lineRule="exact"/>
              <w:jc w:val="both"/>
              <w:rPr>
                <w:rFonts w:ascii="仿宋_GB2312" w:eastAsia="仿宋_GB2312"/>
                <w:color w:val="000000"/>
              </w:rPr>
            </w:pPr>
            <w:r>
              <w:rPr>
                <w:rFonts w:hint="eastAsia" w:ascii="仿宋_GB2312" w:eastAsia="仿宋_GB2312"/>
                <w:color w:val="000000"/>
              </w:rPr>
              <w:t>处室组织活动获良好社会影响（市级及以上媒体报导）：国家级每项加２分，省级加1</w:t>
            </w:r>
            <w:r>
              <w:rPr>
                <w:rFonts w:ascii="仿宋_GB2312" w:eastAsia="仿宋_GB2312"/>
                <w:color w:val="000000"/>
              </w:rPr>
              <w:t>.5</w:t>
            </w:r>
            <w:r>
              <w:rPr>
                <w:rFonts w:hint="eastAsia" w:ascii="仿宋_GB2312" w:eastAsia="仿宋_GB2312"/>
                <w:color w:val="000000"/>
              </w:rPr>
              <w:t>分/项，市级加</w:t>
            </w:r>
            <w:r>
              <w:rPr>
                <w:rFonts w:ascii="仿宋_GB2312" w:eastAsia="仿宋_GB2312"/>
                <w:color w:val="000000"/>
              </w:rPr>
              <w:t>1</w:t>
            </w:r>
            <w:r>
              <w:rPr>
                <w:rFonts w:hint="eastAsia" w:ascii="仿宋_GB2312" w:eastAsia="仿宋_GB2312"/>
                <w:color w:val="000000"/>
              </w:rPr>
              <w:t>分/项</w:t>
            </w:r>
            <w:r>
              <w:rPr>
                <w:rFonts w:hint="eastAsia" w:ascii="仿宋_GB2312" w:hAnsi="宋体" w:eastAsia="仿宋_GB2312"/>
                <w:color w:val="000000"/>
              </w:rPr>
              <w:t>；</w:t>
            </w:r>
          </w:p>
        </w:tc>
        <w:tc>
          <w:tcPr>
            <w:tcW w:w="1752" w:type="dxa"/>
            <w:vAlign w:val="center"/>
          </w:tcPr>
          <w:p>
            <w:pPr>
              <w:adjustRightInd w:val="0"/>
              <w:snapToGrid w:val="0"/>
              <w:spacing w:line="300" w:lineRule="exact"/>
              <w:jc w:val="center"/>
              <w:rPr>
                <w:rFonts w:hint="eastAsia" w:asciiTheme="minorEastAsia" w:hAnsiTheme="minorEastAsia" w:eastAsiaTheme="minorEastAsia" w:cstheme="minorEastAsia"/>
                <w:bCs/>
                <w:color w:val="000000"/>
                <w:spacing w:val="-20"/>
                <w:szCs w:val="21"/>
              </w:rPr>
            </w:pPr>
            <w:r>
              <w:rPr>
                <w:rFonts w:hint="eastAsia" w:asciiTheme="minorEastAsia" w:hAnsiTheme="minorEastAsia" w:eastAsiaTheme="minorEastAsia" w:cstheme="minorEastAsia"/>
                <w:bCs/>
                <w:color w:val="000000"/>
                <w:spacing w:val="-20"/>
                <w:szCs w:val="21"/>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Merge w:val="continue"/>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p>
        </w:tc>
        <w:tc>
          <w:tcPr>
            <w:tcW w:w="1744" w:type="dxa"/>
            <w:vMerge w:val="continue"/>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p>
        </w:tc>
        <w:tc>
          <w:tcPr>
            <w:tcW w:w="9292" w:type="dxa"/>
            <w:vAlign w:val="center"/>
          </w:tcPr>
          <w:p>
            <w:pPr>
              <w:spacing w:line="280" w:lineRule="exact"/>
              <w:jc w:val="both"/>
              <w:rPr>
                <w:rFonts w:ascii="仿宋_GB2312" w:hAnsi="宋体" w:eastAsia="仿宋_GB2312"/>
                <w:color w:val="000000"/>
              </w:rPr>
            </w:pPr>
            <w:r>
              <w:rPr>
                <w:rFonts w:hint="eastAsia" w:ascii="仿宋_GB2312" w:hAnsi="宋体" w:eastAsia="仿宋_GB2312"/>
                <w:color w:val="000000"/>
              </w:rPr>
              <w:t>处室综合工作获奖：国家(部委)级加6分/项，省级加4分，市级加2分；</w:t>
            </w:r>
          </w:p>
        </w:tc>
        <w:tc>
          <w:tcPr>
            <w:tcW w:w="1752" w:type="dxa"/>
            <w:vAlign w:val="center"/>
          </w:tcPr>
          <w:p>
            <w:pPr>
              <w:adjustRightInd w:val="0"/>
              <w:snapToGrid w:val="0"/>
              <w:spacing w:line="300" w:lineRule="exact"/>
              <w:jc w:val="center"/>
              <w:rPr>
                <w:rFonts w:hint="eastAsia" w:asciiTheme="minorEastAsia" w:hAnsiTheme="minorEastAsia" w:eastAsiaTheme="minorEastAsia" w:cstheme="minorEastAsia"/>
                <w:bCs/>
                <w:color w:val="000000"/>
                <w:spacing w:val="-20"/>
                <w:szCs w:val="21"/>
              </w:rPr>
            </w:pPr>
            <w:r>
              <w:rPr>
                <w:rFonts w:hint="eastAsia" w:asciiTheme="minorEastAsia" w:hAnsiTheme="minorEastAsia" w:eastAsiaTheme="minorEastAsia" w:cstheme="minorEastAsia"/>
                <w:bCs/>
                <w:color w:val="000000"/>
                <w:spacing w:val="-20"/>
                <w:szCs w:val="21"/>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Merge w:val="continue"/>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p>
        </w:tc>
        <w:tc>
          <w:tcPr>
            <w:tcW w:w="1744" w:type="dxa"/>
            <w:vMerge w:val="continue"/>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p>
        </w:tc>
        <w:tc>
          <w:tcPr>
            <w:tcW w:w="9292" w:type="dxa"/>
            <w:vAlign w:val="center"/>
          </w:tcPr>
          <w:p>
            <w:pPr>
              <w:adjustRightInd w:val="0"/>
              <w:snapToGrid w:val="0"/>
              <w:spacing w:line="280" w:lineRule="exact"/>
              <w:jc w:val="both"/>
              <w:rPr>
                <w:rFonts w:ascii="仿宋_GB2312" w:eastAsia="仿宋_GB2312"/>
                <w:color w:val="000000"/>
              </w:rPr>
            </w:pPr>
            <w:r>
              <w:rPr>
                <w:rFonts w:hint="eastAsia" w:ascii="仿宋_GB2312" w:eastAsia="仿宋_GB2312"/>
                <w:color w:val="000000"/>
              </w:rPr>
              <w:t>学院党委行政临时确定的加分因素,酌情给予相应分值。</w:t>
            </w:r>
          </w:p>
        </w:tc>
        <w:tc>
          <w:tcPr>
            <w:tcW w:w="1752" w:type="dxa"/>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考核组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Merge w:val="continue"/>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bookmarkStart w:id="4" w:name="_Hlk60927196"/>
          </w:p>
        </w:tc>
        <w:tc>
          <w:tcPr>
            <w:tcW w:w="1744" w:type="dxa"/>
            <w:vMerge w:val="restart"/>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扣分事项</w:t>
            </w:r>
          </w:p>
          <w:p>
            <w:pPr>
              <w:adjustRightInd w:val="0"/>
              <w:snapToGrid w:val="0"/>
              <w:spacing w:line="28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（最高扣</w:t>
            </w:r>
          </w:p>
          <w:p>
            <w:pPr>
              <w:adjustRightInd w:val="0"/>
              <w:snapToGrid w:val="0"/>
              <w:spacing w:line="28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２0分）</w:t>
            </w:r>
          </w:p>
        </w:tc>
        <w:tc>
          <w:tcPr>
            <w:tcW w:w="9292" w:type="dxa"/>
            <w:vAlign w:val="center"/>
          </w:tcPr>
          <w:p>
            <w:pPr>
              <w:adjustRightInd w:val="0"/>
              <w:snapToGrid w:val="0"/>
              <w:spacing w:line="280" w:lineRule="exact"/>
              <w:jc w:val="both"/>
              <w:rPr>
                <w:rFonts w:ascii="仿宋_GB2312" w:eastAsia="仿宋_GB2312"/>
                <w:color w:val="000000"/>
              </w:rPr>
            </w:pPr>
            <w:r>
              <w:rPr>
                <w:rFonts w:hint="eastAsia" w:ascii="仿宋_GB2312" w:eastAsia="仿宋_GB2312"/>
                <w:color w:val="000000"/>
              </w:rPr>
              <w:t>意识形态、宗教、反邪教等工作出现严重问题按规定应予处罚的，减10分，直至一票否决;</w:t>
            </w:r>
            <w:r>
              <w:rPr>
                <w:rFonts w:hint="eastAsia" w:ascii="仿宋_GB2312" w:hAnsi="宋体" w:eastAsia="仿宋_GB2312"/>
                <w:color w:val="000000"/>
              </w:rPr>
              <w:t xml:space="preserve"> </w:t>
            </w:r>
          </w:p>
        </w:tc>
        <w:tc>
          <w:tcPr>
            <w:tcW w:w="1752" w:type="dxa"/>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Merge w:val="continue"/>
            <w:vAlign w:val="center"/>
          </w:tcPr>
          <w:p>
            <w:pPr>
              <w:adjustRightInd w:val="0"/>
              <w:snapToGrid w:val="0"/>
              <w:spacing w:line="280" w:lineRule="exact"/>
              <w:jc w:val="center"/>
              <w:rPr>
                <w:rFonts w:ascii="仿宋_GB2312" w:hAnsi="宋体" w:eastAsia="仿宋_GB2312" w:cs="宋体"/>
                <w:color w:val="000000"/>
                <w:szCs w:val="21"/>
              </w:rPr>
            </w:pPr>
          </w:p>
        </w:tc>
        <w:tc>
          <w:tcPr>
            <w:tcW w:w="1744" w:type="dxa"/>
            <w:vMerge w:val="continue"/>
            <w:vAlign w:val="center"/>
          </w:tcPr>
          <w:p>
            <w:pPr>
              <w:adjustRightInd w:val="0"/>
              <w:snapToGrid w:val="0"/>
              <w:spacing w:line="280" w:lineRule="exact"/>
              <w:jc w:val="center"/>
              <w:rPr>
                <w:rFonts w:ascii="仿宋_GB2312" w:hAnsi="宋体" w:eastAsia="仿宋_GB2312" w:cs="宋体"/>
                <w:color w:val="000000"/>
                <w:szCs w:val="21"/>
              </w:rPr>
            </w:pPr>
          </w:p>
        </w:tc>
        <w:tc>
          <w:tcPr>
            <w:tcW w:w="9292" w:type="dxa"/>
            <w:vAlign w:val="center"/>
          </w:tcPr>
          <w:p>
            <w:pPr>
              <w:adjustRightInd w:val="0"/>
              <w:snapToGrid w:val="0"/>
              <w:spacing w:line="280" w:lineRule="exact"/>
              <w:jc w:val="both"/>
              <w:rPr>
                <w:rFonts w:ascii="仿宋_GB2312" w:eastAsia="仿宋_GB2312"/>
                <w:color w:val="000000"/>
              </w:rPr>
            </w:pPr>
            <w:r>
              <w:rPr>
                <w:rFonts w:hint="eastAsia" w:ascii="仿宋_GB2312" w:hAnsi="宋体" w:eastAsia="仿宋_GB2312"/>
                <w:color w:val="000000"/>
              </w:rPr>
              <w:t>履行党风廉政建设不力，部门工作人员受到党纪、政纪处分或法律追究的减10分;</w:t>
            </w:r>
          </w:p>
        </w:tc>
        <w:tc>
          <w:tcPr>
            <w:tcW w:w="1752" w:type="dxa"/>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rPr>
              <w:t>纪委办</w:t>
            </w:r>
            <w:r>
              <w:rPr>
                <w:rFonts w:hint="eastAsia" w:asciiTheme="minorEastAsia" w:hAnsiTheme="minorEastAsia" w:eastAsiaTheme="minorEastAsia" w:cstheme="minorEastAsia"/>
                <w:color w:val="000000"/>
                <w:szCs w:val="21"/>
                <w:lang w:val="en-US" w:eastAsia="zh-CN"/>
              </w:rPr>
              <w:t>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Merge w:val="continue"/>
            <w:vAlign w:val="center"/>
          </w:tcPr>
          <w:p>
            <w:pPr>
              <w:adjustRightInd w:val="0"/>
              <w:snapToGrid w:val="0"/>
              <w:spacing w:line="280" w:lineRule="exact"/>
              <w:jc w:val="center"/>
              <w:rPr>
                <w:rFonts w:ascii="仿宋_GB2312" w:hAnsi="宋体" w:eastAsia="仿宋_GB2312" w:cs="宋体"/>
                <w:color w:val="000000"/>
                <w:szCs w:val="21"/>
              </w:rPr>
            </w:pPr>
          </w:p>
        </w:tc>
        <w:tc>
          <w:tcPr>
            <w:tcW w:w="1744" w:type="dxa"/>
            <w:vMerge w:val="continue"/>
            <w:vAlign w:val="center"/>
          </w:tcPr>
          <w:p>
            <w:pPr>
              <w:adjustRightInd w:val="0"/>
              <w:snapToGrid w:val="0"/>
              <w:spacing w:line="280" w:lineRule="exact"/>
              <w:jc w:val="center"/>
              <w:rPr>
                <w:rFonts w:ascii="仿宋_GB2312" w:hAnsi="宋体" w:eastAsia="仿宋_GB2312" w:cs="宋体"/>
                <w:color w:val="000000"/>
                <w:szCs w:val="21"/>
              </w:rPr>
            </w:pPr>
          </w:p>
        </w:tc>
        <w:tc>
          <w:tcPr>
            <w:tcW w:w="9292" w:type="dxa"/>
            <w:vAlign w:val="center"/>
          </w:tcPr>
          <w:p>
            <w:pPr>
              <w:adjustRightInd w:val="0"/>
              <w:snapToGrid w:val="0"/>
              <w:spacing w:line="280" w:lineRule="exact"/>
              <w:jc w:val="both"/>
              <w:rPr>
                <w:rFonts w:ascii="仿宋_GB2312" w:hAnsi="宋体" w:eastAsia="仿宋_GB2312"/>
                <w:color w:val="000000"/>
              </w:rPr>
            </w:pPr>
            <w:r>
              <w:rPr>
                <w:rFonts w:hint="eastAsia" w:ascii="仿宋_GB2312" w:hAnsi="宋体" w:eastAsia="仿宋_GB2312"/>
                <w:color w:val="000000"/>
              </w:rPr>
              <w:t>出现校园重大安全责任事故的,视情况一次减5—10分,直至一票否决;</w:t>
            </w:r>
          </w:p>
        </w:tc>
        <w:tc>
          <w:tcPr>
            <w:tcW w:w="1752" w:type="dxa"/>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安</w:t>
            </w:r>
            <w:r>
              <w:rPr>
                <w:rFonts w:hint="eastAsia" w:asciiTheme="minorEastAsia" w:hAnsiTheme="minorEastAsia" w:eastAsiaTheme="minorEastAsia" w:cstheme="minorEastAsia"/>
                <w:color w:val="000000"/>
                <w:szCs w:val="21"/>
                <w:lang w:val="en-US" w:eastAsia="zh-CN"/>
              </w:rPr>
              <w:t>全</w:t>
            </w:r>
            <w:r>
              <w:rPr>
                <w:rFonts w:hint="eastAsia" w:asciiTheme="minorEastAsia" w:hAnsiTheme="minorEastAsia" w:eastAsiaTheme="minorEastAsia" w:cstheme="minorEastAsia"/>
                <w:color w:val="000000"/>
                <w:szCs w:val="21"/>
              </w:rPr>
              <w:t>保</w:t>
            </w:r>
            <w:r>
              <w:rPr>
                <w:rFonts w:hint="eastAsia" w:asciiTheme="minorEastAsia" w:hAnsiTheme="minorEastAsia" w:eastAsiaTheme="minorEastAsia" w:cstheme="minorEastAsia"/>
                <w:color w:val="000000"/>
                <w:szCs w:val="21"/>
                <w:lang w:val="en-US" w:eastAsia="zh-CN"/>
              </w:rPr>
              <w:t>卫</w:t>
            </w:r>
            <w:r>
              <w:rPr>
                <w:rFonts w:hint="eastAsia" w:asciiTheme="minorEastAsia" w:hAnsiTheme="minorEastAsia" w:eastAsiaTheme="minorEastAsia" w:cstheme="minorEastAsia"/>
                <w:color w:val="00000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Merge w:val="continue"/>
            <w:vAlign w:val="center"/>
          </w:tcPr>
          <w:p>
            <w:pPr>
              <w:adjustRightInd w:val="0"/>
              <w:snapToGrid w:val="0"/>
              <w:spacing w:line="280" w:lineRule="exact"/>
              <w:jc w:val="center"/>
              <w:rPr>
                <w:rFonts w:ascii="仿宋_GB2312" w:hAnsi="宋体" w:eastAsia="仿宋_GB2312" w:cs="宋体"/>
                <w:color w:val="000000"/>
                <w:szCs w:val="21"/>
              </w:rPr>
            </w:pPr>
          </w:p>
        </w:tc>
        <w:tc>
          <w:tcPr>
            <w:tcW w:w="1744" w:type="dxa"/>
            <w:vMerge w:val="continue"/>
            <w:vAlign w:val="center"/>
          </w:tcPr>
          <w:p>
            <w:pPr>
              <w:adjustRightInd w:val="0"/>
              <w:snapToGrid w:val="0"/>
              <w:spacing w:line="280" w:lineRule="exact"/>
              <w:jc w:val="center"/>
              <w:rPr>
                <w:rFonts w:ascii="仿宋_GB2312" w:hAnsi="宋体" w:eastAsia="仿宋_GB2312" w:cs="宋体"/>
                <w:color w:val="000000"/>
                <w:szCs w:val="21"/>
              </w:rPr>
            </w:pPr>
          </w:p>
        </w:tc>
        <w:tc>
          <w:tcPr>
            <w:tcW w:w="9292" w:type="dxa"/>
            <w:vAlign w:val="center"/>
          </w:tcPr>
          <w:p>
            <w:pPr>
              <w:adjustRightInd w:val="0"/>
              <w:snapToGrid w:val="0"/>
              <w:spacing w:line="280" w:lineRule="exact"/>
              <w:jc w:val="both"/>
              <w:rPr>
                <w:rFonts w:ascii="仿宋_GB2312" w:hAnsi="宋体" w:eastAsia="仿宋_GB2312"/>
                <w:color w:val="000000"/>
              </w:rPr>
            </w:pPr>
            <w:r>
              <w:rPr>
                <w:rFonts w:hint="eastAsia" w:ascii="仿宋_GB2312" w:hAnsi="宋体" w:eastAsia="仿宋_GB2312"/>
                <w:color w:val="000000"/>
              </w:rPr>
              <w:t xml:space="preserve">违反师德师风要求造成较坏影响的，一次减10分；师生被刑事处理的,一票否决； </w:t>
            </w:r>
          </w:p>
        </w:tc>
        <w:tc>
          <w:tcPr>
            <w:tcW w:w="1752" w:type="dxa"/>
            <w:vAlign w:val="center"/>
          </w:tcPr>
          <w:p>
            <w:pPr>
              <w:adjustRightInd w:val="0"/>
              <w:snapToGrid w:val="0"/>
              <w:spacing w:line="28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Merge w:val="continue"/>
            <w:vAlign w:val="center"/>
          </w:tcPr>
          <w:p>
            <w:pPr>
              <w:adjustRightInd w:val="0"/>
              <w:snapToGrid w:val="0"/>
              <w:spacing w:line="280" w:lineRule="exact"/>
              <w:jc w:val="center"/>
              <w:rPr>
                <w:rFonts w:ascii="黑体" w:hAnsi="黑体" w:eastAsia="黑体" w:cs="宋体"/>
                <w:color w:val="000000"/>
                <w:szCs w:val="21"/>
              </w:rPr>
            </w:pPr>
          </w:p>
        </w:tc>
        <w:tc>
          <w:tcPr>
            <w:tcW w:w="1744" w:type="dxa"/>
            <w:vMerge w:val="continue"/>
            <w:vAlign w:val="center"/>
          </w:tcPr>
          <w:p>
            <w:pPr>
              <w:adjustRightInd w:val="0"/>
              <w:snapToGrid w:val="0"/>
              <w:spacing w:line="280" w:lineRule="exact"/>
              <w:jc w:val="center"/>
              <w:rPr>
                <w:rFonts w:ascii="黑体" w:hAnsi="黑体" w:eastAsia="黑体" w:cs="宋体"/>
                <w:color w:val="000000"/>
                <w:szCs w:val="21"/>
              </w:rPr>
            </w:pPr>
          </w:p>
        </w:tc>
        <w:tc>
          <w:tcPr>
            <w:tcW w:w="9292" w:type="dxa"/>
            <w:vAlign w:val="center"/>
          </w:tcPr>
          <w:p>
            <w:pPr>
              <w:adjustRightInd w:val="0"/>
              <w:snapToGrid w:val="0"/>
              <w:spacing w:line="280" w:lineRule="exact"/>
              <w:jc w:val="both"/>
              <w:rPr>
                <w:rFonts w:ascii="黑体" w:hAnsi="黑体" w:eastAsia="黑体"/>
                <w:color w:val="000000"/>
              </w:rPr>
            </w:pPr>
            <w:r>
              <w:rPr>
                <w:rFonts w:hint="eastAsia" w:ascii="仿宋_GB2312" w:hAnsi="宋体" w:eastAsia="仿宋_GB2312"/>
                <w:color w:val="000000"/>
              </w:rPr>
              <w:t xml:space="preserve">因工作差错而造成重大经济损失和恶劣影响的减10分; </w:t>
            </w:r>
          </w:p>
        </w:tc>
        <w:tc>
          <w:tcPr>
            <w:tcW w:w="1752" w:type="dxa"/>
            <w:vAlign w:val="center"/>
          </w:tcPr>
          <w:p>
            <w:pPr>
              <w:adjustRightInd w:val="0"/>
              <w:snapToGrid w:val="0"/>
              <w:spacing w:line="280" w:lineRule="exact"/>
              <w:ind w:right="-124"/>
              <w:jc w:val="center"/>
              <w:rPr>
                <w:rFonts w:hint="eastAsia" w:asciiTheme="minorEastAsia" w:hAnsiTheme="minorEastAsia" w:eastAsiaTheme="minorEastAsia" w:cstheme="minorEastAsia"/>
                <w:bCs/>
                <w:color w:val="000000"/>
                <w:spacing w:val="-20"/>
                <w:szCs w:val="21"/>
              </w:rPr>
            </w:pPr>
            <w:r>
              <w:rPr>
                <w:rFonts w:hint="eastAsia" w:asciiTheme="minorEastAsia" w:hAnsiTheme="minorEastAsia" w:eastAsiaTheme="minorEastAsia" w:cstheme="minorEastAsia"/>
                <w:bCs/>
                <w:color w:val="000000"/>
                <w:spacing w:val="-20"/>
                <w:szCs w:val="21"/>
              </w:rPr>
              <w:t>组织人事部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34" w:type="dxa"/>
            <w:right w:w="108" w:type="dxa"/>
          </w:tblCellMar>
        </w:tblPrEx>
        <w:trPr>
          <w:trHeight w:val="567" w:hRule="atLeast"/>
          <w:jc w:val="center"/>
        </w:trPr>
        <w:tc>
          <w:tcPr>
            <w:tcW w:w="1531" w:type="dxa"/>
            <w:vMerge w:val="continue"/>
            <w:vAlign w:val="center"/>
          </w:tcPr>
          <w:p>
            <w:pPr>
              <w:adjustRightInd w:val="0"/>
              <w:snapToGrid w:val="0"/>
              <w:spacing w:line="280" w:lineRule="exact"/>
              <w:jc w:val="center"/>
              <w:rPr>
                <w:rFonts w:ascii="仿宋_GB2312" w:hAnsi="宋体" w:eastAsia="仿宋_GB2312" w:cs="宋体"/>
                <w:color w:val="000000"/>
                <w:szCs w:val="21"/>
              </w:rPr>
            </w:pPr>
          </w:p>
        </w:tc>
        <w:tc>
          <w:tcPr>
            <w:tcW w:w="1744" w:type="dxa"/>
            <w:vMerge w:val="continue"/>
            <w:vAlign w:val="center"/>
          </w:tcPr>
          <w:p>
            <w:pPr>
              <w:adjustRightInd w:val="0"/>
              <w:snapToGrid w:val="0"/>
              <w:spacing w:line="280" w:lineRule="exact"/>
              <w:jc w:val="center"/>
              <w:rPr>
                <w:rFonts w:ascii="仿宋_GB2312" w:hAnsi="宋体" w:eastAsia="仿宋_GB2312" w:cs="宋体"/>
                <w:color w:val="000000"/>
                <w:szCs w:val="21"/>
              </w:rPr>
            </w:pPr>
          </w:p>
        </w:tc>
        <w:tc>
          <w:tcPr>
            <w:tcW w:w="9292" w:type="dxa"/>
            <w:vAlign w:val="center"/>
          </w:tcPr>
          <w:p>
            <w:pPr>
              <w:adjustRightInd w:val="0"/>
              <w:snapToGrid w:val="0"/>
              <w:spacing w:line="280" w:lineRule="exact"/>
              <w:jc w:val="both"/>
              <w:rPr>
                <w:rFonts w:ascii="黑体" w:hAnsi="黑体" w:eastAsia="黑体" w:cs="宋体"/>
                <w:bCs/>
                <w:color w:val="000000"/>
              </w:rPr>
            </w:pPr>
            <w:r>
              <w:rPr>
                <w:rFonts w:hint="eastAsia" w:ascii="仿宋_GB2312" w:hAnsi="宋体" w:eastAsia="仿宋_GB2312"/>
                <w:color w:val="000000"/>
              </w:rPr>
              <w:t>经过学院认定有其他严重问题的,如有群众举报经查实的、违反财经纪律、教学或行政事故等违纪违规现象减10分。</w:t>
            </w:r>
          </w:p>
        </w:tc>
        <w:tc>
          <w:tcPr>
            <w:tcW w:w="1752" w:type="dxa"/>
            <w:vAlign w:val="center"/>
          </w:tcPr>
          <w:p>
            <w:pPr>
              <w:adjustRightInd w:val="0"/>
              <w:snapToGrid w:val="0"/>
              <w:spacing w:line="280" w:lineRule="exact"/>
              <w:ind w:right="-124"/>
              <w:jc w:val="center"/>
              <w:rPr>
                <w:rFonts w:hint="eastAsia" w:asciiTheme="minorEastAsia" w:hAnsiTheme="minorEastAsia" w:eastAsiaTheme="minorEastAsia" w:cstheme="minorEastAsia"/>
                <w:b/>
                <w:bCs/>
                <w:color w:val="000000"/>
                <w:spacing w:val="-20"/>
                <w:szCs w:val="21"/>
              </w:rPr>
            </w:pPr>
            <w:r>
              <w:rPr>
                <w:rFonts w:hint="eastAsia" w:asciiTheme="minorEastAsia" w:hAnsiTheme="minorEastAsia" w:eastAsiaTheme="minorEastAsia" w:cstheme="minorEastAsia"/>
                <w:bCs/>
                <w:color w:val="000000"/>
                <w:spacing w:val="-20"/>
                <w:szCs w:val="21"/>
              </w:rPr>
              <w:t>办公室</w:t>
            </w:r>
          </w:p>
        </w:tc>
      </w:tr>
      <w:bookmarkEnd w:id="4"/>
    </w:tbl>
    <w:p>
      <w:pPr>
        <w:keepNext w:val="0"/>
        <w:keepLines w:val="0"/>
        <w:pageBreakBefore w:val="0"/>
        <w:widowControl w:val="0"/>
        <w:kinsoku/>
        <w:wordWrap/>
        <w:overflowPunct/>
        <w:topLinePunct w:val="0"/>
        <w:autoSpaceDE/>
        <w:autoSpaceDN/>
        <w:bidi w:val="0"/>
        <w:adjustRightInd/>
        <w:snapToGrid/>
        <w:spacing w:line="40" w:lineRule="exact"/>
        <w:textAlignment w:val="auto"/>
      </w:pPr>
    </w:p>
    <w:p>
      <w:pPr>
        <w:keepNext w:val="0"/>
        <w:keepLines w:val="0"/>
        <w:pageBreakBefore w:val="0"/>
        <w:widowControl w:val="0"/>
        <w:kinsoku/>
        <w:wordWrap/>
        <w:overflowPunct/>
        <w:topLinePunct w:val="0"/>
        <w:autoSpaceDE/>
        <w:autoSpaceDN/>
        <w:bidi w:val="0"/>
        <w:adjustRightInd/>
        <w:snapToGrid/>
        <w:spacing w:line="40" w:lineRule="exact"/>
        <w:ind w:firstLine="4800" w:firstLineChars="1500"/>
        <w:textAlignment w:val="auto"/>
        <w:rPr>
          <w:rFonts w:hint="eastAsia" w:ascii="仿宋_GB2312" w:eastAsia="仿宋_GB2312"/>
          <w:color w:val="auto"/>
          <w:sz w:val="32"/>
          <w:szCs w:val="32"/>
        </w:rPr>
        <w:sectPr>
          <w:footerReference r:id="rId4" w:type="default"/>
          <w:pgSz w:w="16838" w:h="11906" w:orient="landscape"/>
          <w:pgMar w:top="1077" w:right="2041" w:bottom="1077" w:left="1985" w:header="0" w:footer="397" w:gutter="0"/>
          <w:pgNumType w:fmt="numberInDash"/>
          <w:cols w:space="0" w:num="1"/>
          <w:docGrid w:type="lines" w:linePitch="348"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黑体" w:hAnsi="黑体" w:eastAsia="黑体" w:cs="黑体"/>
          <w:color w:val="000000"/>
          <w:sz w:val="32"/>
          <w:szCs w:val="32"/>
          <w:lang w:val="en-US" w:eastAsia="zh-CN"/>
        </w:rPr>
        <w:t>附件5</w:t>
      </w:r>
      <w:r>
        <w:rPr>
          <w:rFonts w:hint="eastAsia" w:ascii="仿宋_GB2312"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职能部门</w:t>
      </w:r>
      <w:r>
        <w:rPr>
          <w:rFonts w:hint="eastAsia" w:ascii="方正小标宋简体" w:hAnsi="方正小标宋简体" w:eastAsia="方正小标宋简体" w:cs="方正小标宋简体"/>
          <w:bCs/>
          <w:color w:val="000000"/>
          <w:sz w:val="44"/>
          <w:szCs w:val="44"/>
        </w:rPr>
        <w:t>工作民主测评表</w:t>
      </w:r>
    </w:p>
    <w:p>
      <w:pPr>
        <w:rPr>
          <w:rFonts w:ascii="仿宋_GB2312" w:eastAsia="仿宋_GB2312"/>
          <w:color w:val="000000"/>
          <w:sz w:val="32"/>
          <w:szCs w:val="32"/>
        </w:rPr>
      </w:pPr>
    </w:p>
    <w:tbl>
      <w:tblPr>
        <w:tblStyle w:val="7"/>
        <w:tblpPr w:leftFromText="180" w:rightFromText="180" w:vertAnchor="text" w:horzAnchor="page" w:tblpX="1540" w:tblpY="2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218"/>
        <w:gridCol w:w="1263"/>
        <w:gridCol w:w="1112"/>
        <w:gridCol w:w="1188"/>
        <w:gridCol w:w="1113"/>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hint="default" w:ascii="黑体" w:hAnsi="黑体" w:eastAsia="黑体" w:cs="黑体"/>
                <w:bCs/>
                <w:color w:val="000000"/>
                <w:sz w:val="28"/>
                <w:szCs w:val="28"/>
                <w:lang w:val="en-US" w:eastAsia="zh-CN"/>
              </w:rPr>
            </w:pPr>
            <w:r>
              <w:rPr>
                <w:rFonts w:hint="eastAsia" w:ascii="黑体" w:hAnsi="黑体" w:eastAsia="黑体" w:cs="黑体"/>
                <w:bCs/>
                <w:color w:val="000000"/>
                <w:sz w:val="28"/>
                <w:szCs w:val="28"/>
                <w:lang w:val="en-US" w:eastAsia="zh-CN"/>
              </w:rPr>
              <w:t>职能部门</w:t>
            </w:r>
          </w:p>
        </w:tc>
        <w:tc>
          <w:tcPr>
            <w:tcW w:w="1218" w:type="dxa"/>
            <w:tcMar>
              <w:left w:w="6" w:type="dxa"/>
              <w:right w:w="6" w:type="dxa"/>
            </w:tcMar>
            <w:vAlign w:val="center"/>
          </w:tcPr>
          <w:p>
            <w:pPr>
              <w:jc w:val="center"/>
              <w:rPr>
                <w:rFonts w:ascii="黑体" w:hAnsi="黑体" w:eastAsia="黑体" w:cs="黑体"/>
                <w:bCs/>
                <w:color w:val="000000"/>
                <w:kern w:val="10"/>
                <w:sz w:val="24"/>
              </w:rPr>
            </w:pPr>
            <w:r>
              <w:rPr>
                <w:rFonts w:hint="eastAsia" w:ascii="黑体" w:hAnsi="黑体" w:eastAsia="黑体" w:cs="黑体"/>
                <w:bCs/>
                <w:color w:val="000000"/>
                <w:kern w:val="10"/>
                <w:sz w:val="24"/>
              </w:rPr>
              <w:t>目标完成</w:t>
            </w:r>
          </w:p>
        </w:tc>
        <w:tc>
          <w:tcPr>
            <w:tcW w:w="1263" w:type="dxa"/>
            <w:tcMar>
              <w:left w:w="6" w:type="dxa"/>
              <w:right w:w="6" w:type="dxa"/>
            </w:tcMar>
            <w:vAlign w:val="center"/>
          </w:tcPr>
          <w:p>
            <w:pPr>
              <w:jc w:val="center"/>
              <w:rPr>
                <w:rFonts w:ascii="黑体" w:hAnsi="黑体" w:eastAsia="黑体" w:cs="黑体"/>
                <w:bCs/>
                <w:color w:val="000000"/>
                <w:kern w:val="10"/>
                <w:sz w:val="24"/>
              </w:rPr>
            </w:pPr>
            <w:r>
              <w:rPr>
                <w:rFonts w:hint="eastAsia" w:ascii="黑体" w:hAnsi="黑体" w:eastAsia="黑体" w:cs="黑体"/>
                <w:bCs/>
                <w:color w:val="000000"/>
                <w:kern w:val="10"/>
                <w:sz w:val="24"/>
              </w:rPr>
              <w:t>作风</w:t>
            </w:r>
            <w:r>
              <w:rPr>
                <w:rFonts w:hint="eastAsia" w:ascii="黑体" w:hAnsi="黑体" w:eastAsia="黑体" w:cs="黑体"/>
                <w:bCs/>
                <w:color w:val="000000"/>
                <w:spacing w:val="-40"/>
                <w:kern w:val="10"/>
                <w:szCs w:val="21"/>
              </w:rPr>
              <w:t>、</w:t>
            </w:r>
            <w:r>
              <w:rPr>
                <w:rFonts w:hint="eastAsia" w:ascii="黑体" w:hAnsi="黑体" w:eastAsia="黑体" w:cs="黑体"/>
                <w:bCs/>
                <w:color w:val="000000"/>
                <w:kern w:val="10"/>
                <w:sz w:val="24"/>
              </w:rPr>
              <w:t>纪</w:t>
            </w:r>
            <w:r>
              <w:rPr>
                <w:rFonts w:hint="eastAsia" w:ascii="黑体" w:hAnsi="黑体" w:eastAsia="黑体" w:cs="黑体"/>
                <w:bCs/>
                <w:color w:val="000000"/>
                <w:spacing w:val="-40"/>
                <w:kern w:val="10"/>
                <w:sz w:val="24"/>
              </w:rPr>
              <w:t>律</w:t>
            </w:r>
          </w:p>
        </w:tc>
        <w:tc>
          <w:tcPr>
            <w:tcW w:w="1112" w:type="dxa"/>
            <w:tcMar>
              <w:left w:w="6" w:type="dxa"/>
              <w:right w:w="6" w:type="dxa"/>
            </w:tcMar>
            <w:vAlign w:val="center"/>
          </w:tcPr>
          <w:p>
            <w:pPr>
              <w:jc w:val="center"/>
              <w:rPr>
                <w:rFonts w:ascii="黑体" w:hAnsi="黑体" w:eastAsia="黑体" w:cs="黑体"/>
                <w:bCs/>
                <w:color w:val="000000"/>
                <w:kern w:val="10"/>
                <w:sz w:val="24"/>
              </w:rPr>
            </w:pPr>
            <w:r>
              <w:rPr>
                <w:rFonts w:hint="eastAsia" w:ascii="黑体" w:hAnsi="黑体" w:eastAsia="黑体" w:cs="黑体"/>
                <w:bCs/>
                <w:color w:val="000000"/>
                <w:kern w:val="10"/>
                <w:sz w:val="24"/>
              </w:rPr>
              <w:t>服</w:t>
            </w:r>
            <w:r>
              <w:rPr>
                <w:rFonts w:hint="eastAsia" w:ascii="黑体" w:hAnsi="黑体" w:eastAsia="黑体" w:cs="黑体"/>
                <w:bCs/>
                <w:color w:val="000000"/>
                <w:spacing w:val="-40"/>
                <w:kern w:val="10"/>
                <w:sz w:val="24"/>
              </w:rPr>
              <w:t>务 、</w:t>
            </w:r>
            <w:r>
              <w:rPr>
                <w:rFonts w:hint="eastAsia" w:ascii="黑体" w:hAnsi="黑体" w:eastAsia="黑体" w:cs="黑体"/>
                <w:bCs/>
                <w:color w:val="000000"/>
                <w:spacing w:val="-4"/>
                <w:kern w:val="10"/>
                <w:sz w:val="24"/>
              </w:rPr>
              <w:t>协</w:t>
            </w:r>
            <w:r>
              <w:rPr>
                <w:rFonts w:hint="eastAsia" w:ascii="黑体" w:hAnsi="黑体" w:eastAsia="黑体" w:cs="黑体"/>
                <w:bCs/>
                <w:color w:val="000000"/>
                <w:kern w:val="10"/>
                <w:sz w:val="24"/>
              </w:rPr>
              <w:t>作</w:t>
            </w:r>
          </w:p>
        </w:tc>
        <w:tc>
          <w:tcPr>
            <w:tcW w:w="1188" w:type="dxa"/>
            <w:tcMar>
              <w:left w:w="6" w:type="dxa"/>
              <w:right w:w="6" w:type="dxa"/>
            </w:tcMar>
            <w:vAlign w:val="center"/>
          </w:tcPr>
          <w:p>
            <w:pPr>
              <w:jc w:val="center"/>
              <w:rPr>
                <w:rFonts w:ascii="黑体" w:hAnsi="黑体" w:eastAsia="黑体" w:cs="黑体"/>
                <w:bCs/>
                <w:color w:val="000000"/>
                <w:kern w:val="10"/>
                <w:sz w:val="24"/>
              </w:rPr>
            </w:pPr>
            <w:r>
              <w:rPr>
                <w:rFonts w:hint="eastAsia" w:ascii="黑体" w:hAnsi="黑体" w:eastAsia="黑体" w:cs="黑体"/>
                <w:bCs/>
                <w:color w:val="000000"/>
                <w:kern w:val="10"/>
                <w:sz w:val="24"/>
              </w:rPr>
              <w:t>制</w:t>
            </w:r>
            <w:r>
              <w:rPr>
                <w:rFonts w:hint="eastAsia" w:ascii="黑体" w:hAnsi="黑体" w:eastAsia="黑体" w:cs="黑体"/>
                <w:bCs/>
                <w:color w:val="000000"/>
                <w:spacing w:val="-40"/>
                <w:kern w:val="10"/>
                <w:sz w:val="24"/>
              </w:rPr>
              <w:t>度 、</w:t>
            </w:r>
            <w:r>
              <w:rPr>
                <w:rFonts w:hint="eastAsia" w:ascii="黑体" w:hAnsi="黑体" w:eastAsia="黑体" w:cs="黑体"/>
                <w:bCs/>
                <w:color w:val="000000"/>
                <w:kern w:val="10"/>
                <w:sz w:val="24"/>
              </w:rPr>
              <w:t>学习</w:t>
            </w:r>
          </w:p>
        </w:tc>
        <w:tc>
          <w:tcPr>
            <w:tcW w:w="1113" w:type="dxa"/>
            <w:tcMar>
              <w:left w:w="6" w:type="dxa"/>
              <w:right w:w="6" w:type="dxa"/>
            </w:tcMar>
            <w:vAlign w:val="center"/>
          </w:tcPr>
          <w:p>
            <w:pPr>
              <w:jc w:val="center"/>
              <w:rPr>
                <w:rFonts w:ascii="黑体" w:hAnsi="黑体" w:eastAsia="黑体" w:cs="黑体"/>
                <w:bCs/>
                <w:color w:val="000000"/>
                <w:kern w:val="10"/>
                <w:sz w:val="24"/>
              </w:rPr>
            </w:pPr>
            <w:r>
              <w:rPr>
                <w:rFonts w:hint="eastAsia" w:ascii="黑体" w:hAnsi="黑体" w:eastAsia="黑体" w:cs="黑体"/>
                <w:bCs/>
                <w:color w:val="000000"/>
                <w:kern w:val="10"/>
                <w:sz w:val="24"/>
              </w:rPr>
              <w:t>节</w:t>
            </w:r>
            <w:r>
              <w:rPr>
                <w:rFonts w:hint="eastAsia" w:ascii="黑体" w:hAnsi="黑体" w:eastAsia="黑体" w:cs="黑体"/>
                <w:bCs/>
                <w:color w:val="000000"/>
                <w:spacing w:val="-40"/>
                <w:kern w:val="10"/>
                <w:sz w:val="24"/>
              </w:rPr>
              <w:t>约 、</w:t>
            </w:r>
            <w:r>
              <w:rPr>
                <w:rFonts w:hint="eastAsia" w:ascii="黑体" w:hAnsi="黑体" w:eastAsia="黑体" w:cs="黑体"/>
                <w:bCs/>
                <w:color w:val="000000"/>
                <w:kern w:val="10"/>
                <w:sz w:val="24"/>
              </w:rPr>
              <w:t>廉洁</w:t>
            </w:r>
          </w:p>
        </w:tc>
        <w:tc>
          <w:tcPr>
            <w:tcW w:w="1070" w:type="dxa"/>
            <w:vAlign w:val="center"/>
          </w:tcPr>
          <w:p>
            <w:pPr>
              <w:jc w:val="center"/>
              <w:rPr>
                <w:rFonts w:ascii="黑体" w:hAnsi="黑体" w:eastAsia="黑体" w:cs="黑体"/>
                <w:bCs/>
                <w:color w:val="000000"/>
                <w:kern w:val="10"/>
                <w:sz w:val="32"/>
                <w:szCs w:val="32"/>
              </w:rPr>
            </w:pPr>
            <w:r>
              <w:rPr>
                <w:rFonts w:hint="eastAsia" w:ascii="黑体" w:hAnsi="黑体" w:eastAsia="黑体" w:cs="黑体"/>
                <w:bCs/>
                <w:color w:val="000000"/>
                <w:kern w:val="10"/>
                <w:sz w:val="32"/>
                <w:szCs w:val="32"/>
              </w:rPr>
              <w:t>总</w:t>
            </w:r>
            <w:r>
              <w:rPr>
                <w:rFonts w:hint="eastAsia" w:ascii="黑体" w:hAnsi="黑体" w:eastAsia="黑体" w:cs="黑体"/>
                <w:bCs/>
                <w:color w:val="000000"/>
                <w:kern w:val="10"/>
                <w:szCs w:val="21"/>
              </w:rPr>
              <w:t xml:space="preserve"> </w:t>
            </w:r>
            <w:r>
              <w:rPr>
                <w:rFonts w:hint="eastAsia" w:ascii="黑体" w:hAnsi="黑体" w:eastAsia="黑体" w:cs="黑体"/>
                <w:bCs/>
                <w:color w:val="000000"/>
                <w:kern w:val="10"/>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办公室</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纪委办公室</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组织人事部</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宣传部</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工会</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团委</w:t>
            </w:r>
          </w:p>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学生工作处</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教务处</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教学督导室</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ascii="仿宋_GB2312" w:eastAsia="仿宋_GB2312"/>
                <w:color w:val="000000"/>
                <w:sz w:val="28"/>
                <w:szCs w:val="28"/>
              </w:rPr>
            </w:pPr>
            <w:r>
              <w:rPr>
                <w:rFonts w:ascii="仿宋_GB2312" w:eastAsia="仿宋_GB2312"/>
                <w:color w:val="000000"/>
                <w:sz w:val="28"/>
                <w:szCs w:val="28"/>
              </w:rPr>
              <w:t>招生就业处</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财务处</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总务基建处</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安全保卫处</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实验实训中心</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图书馆</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附属医院</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36" w:type="dxa"/>
            <w:tcMar>
              <w:left w:w="6" w:type="dxa"/>
              <w:right w:w="6" w:type="dxa"/>
            </w:tcMar>
            <w:vAlign w:val="center"/>
          </w:tcPr>
          <w:p>
            <w:pPr>
              <w:jc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思政部</w:t>
            </w:r>
          </w:p>
        </w:tc>
        <w:tc>
          <w:tcPr>
            <w:tcW w:w="1218" w:type="dxa"/>
            <w:tcMar>
              <w:left w:w="6" w:type="dxa"/>
              <w:right w:w="6" w:type="dxa"/>
            </w:tcMar>
            <w:vAlign w:val="center"/>
          </w:tcPr>
          <w:p>
            <w:pPr>
              <w:jc w:val="center"/>
              <w:rPr>
                <w:rFonts w:ascii="仿宋_GB2312" w:eastAsia="仿宋_GB2312"/>
                <w:color w:val="000000"/>
                <w:sz w:val="28"/>
                <w:szCs w:val="28"/>
              </w:rPr>
            </w:pPr>
          </w:p>
        </w:tc>
        <w:tc>
          <w:tcPr>
            <w:tcW w:w="1263" w:type="dxa"/>
            <w:tcMar>
              <w:left w:w="6" w:type="dxa"/>
              <w:right w:w="6" w:type="dxa"/>
            </w:tcMar>
            <w:vAlign w:val="center"/>
          </w:tcPr>
          <w:p>
            <w:pPr>
              <w:jc w:val="center"/>
              <w:rPr>
                <w:rFonts w:ascii="仿宋_GB2312" w:eastAsia="仿宋_GB2312"/>
                <w:color w:val="000000"/>
                <w:sz w:val="28"/>
                <w:szCs w:val="28"/>
              </w:rPr>
            </w:pPr>
          </w:p>
        </w:tc>
        <w:tc>
          <w:tcPr>
            <w:tcW w:w="1112" w:type="dxa"/>
            <w:tcMar>
              <w:left w:w="6" w:type="dxa"/>
              <w:right w:w="6" w:type="dxa"/>
            </w:tcMar>
            <w:vAlign w:val="center"/>
          </w:tcPr>
          <w:p>
            <w:pPr>
              <w:jc w:val="center"/>
              <w:rPr>
                <w:rFonts w:ascii="仿宋_GB2312" w:eastAsia="仿宋_GB2312"/>
                <w:color w:val="000000"/>
                <w:sz w:val="28"/>
                <w:szCs w:val="28"/>
              </w:rPr>
            </w:pPr>
          </w:p>
        </w:tc>
        <w:tc>
          <w:tcPr>
            <w:tcW w:w="1188" w:type="dxa"/>
            <w:tcMar>
              <w:left w:w="6" w:type="dxa"/>
              <w:right w:w="6" w:type="dxa"/>
            </w:tcMar>
            <w:vAlign w:val="center"/>
          </w:tcPr>
          <w:p>
            <w:pPr>
              <w:jc w:val="center"/>
              <w:rPr>
                <w:rFonts w:ascii="仿宋_GB2312" w:eastAsia="仿宋_GB2312"/>
                <w:color w:val="000000"/>
                <w:sz w:val="28"/>
                <w:szCs w:val="28"/>
              </w:rPr>
            </w:pPr>
          </w:p>
        </w:tc>
        <w:tc>
          <w:tcPr>
            <w:tcW w:w="1113" w:type="dxa"/>
            <w:tcMar>
              <w:left w:w="6" w:type="dxa"/>
              <w:right w:w="6" w:type="dxa"/>
            </w:tcMar>
            <w:vAlign w:val="center"/>
          </w:tcPr>
          <w:p>
            <w:pPr>
              <w:jc w:val="center"/>
              <w:rPr>
                <w:rFonts w:ascii="仿宋_GB2312" w:eastAsia="仿宋_GB2312"/>
                <w:color w:val="000000"/>
                <w:sz w:val="28"/>
                <w:szCs w:val="28"/>
              </w:rPr>
            </w:pPr>
          </w:p>
        </w:tc>
        <w:tc>
          <w:tcPr>
            <w:tcW w:w="1070" w:type="dxa"/>
            <w:vAlign w:val="center"/>
          </w:tcPr>
          <w:p>
            <w:pPr>
              <w:jc w:val="center"/>
              <w:rPr>
                <w:rFonts w:ascii="仿宋_GB2312" w:eastAsia="仿宋_GB2312"/>
                <w:color w:val="000000"/>
                <w:sz w:val="28"/>
                <w:szCs w:val="28"/>
              </w:rPr>
            </w:pPr>
          </w:p>
        </w:tc>
      </w:tr>
    </w:tbl>
    <w:p>
      <w:pPr>
        <w:spacing w:line="520" w:lineRule="exact"/>
      </w:pPr>
      <w:r>
        <w:rPr>
          <w:rFonts w:hint="eastAsia" w:ascii="黑体" w:eastAsia="黑体"/>
          <w:color w:val="000000"/>
          <w:sz w:val="32"/>
          <w:szCs w:val="32"/>
        </w:rPr>
        <w:t>说明</w:t>
      </w:r>
      <w:r>
        <w:rPr>
          <w:rFonts w:hint="eastAsia" w:ascii="仿宋_GB2312" w:eastAsia="仿宋_GB2312"/>
          <w:color w:val="000000"/>
          <w:sz w:val="32"/>
          <w:szCs w:val="32"/>
        </w:rPr>
        <w:t>：必须打出总分（</w:t>
      </w:r>
      <w:r>
        <w:rPr>
          <w:rFonts w:eastAsia="仿宋_GB2312"/>
          <w:color w:val="000000"/>
          <w:sz w:val="32"/>
          <w:szCs w:val="32"/>
        </w:rPr>
        <w:t>100</w:t>
      </w:r>
      <w:r>
        <w:rPr>
          <w:rFonts w:hint="eastAsia" w:ascii="仿宋_GB2312" w:eastAsia="仿宋_GB2312"/>
          <w:color w:val="000000"/>
          <w:sz w:val="32"/>
          <w:szCs w:val="32"/>
        </w:rPr>
        <w:t>分）</w:t>
      </w: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6</w:t>
      </w:r>
    </w:p>
    <w:p>
      <w:pPr>
        <w:keepNext w:val="0"/>
        <w:keepLines w:val="0"/>
        <w:pageBreakBefore w:val="0"/>
        <w:widowControl/>
        <w:kinsoku/>
        <w:wordWrap/>
        <w:overflowPunct/>
        <w:topLinePunct w:val="0"/>
        <w:autoSpaceDE/>
        <w:autoSpaceDN/>
        <w:bidi w:val="0"/>
        <w:spacing w:line="600" w:lineRule="exact"/>
        <w:jc w:val="center"/>
        <w:textAlignment w:val="auto"/>
        <w:rPr>
          <w:rFonts w:ascii="方正小标宋简体" w:hAnsi="微软雅黑" w:eastAsia="方正小标宋简体"/>
          <w:color w:val="333949"/>
          <w:sz w:val="44"/>
          <w:szCs w:val="44"/>
          <w:lang w:val="zh-CN"/>
        </w:rPr>
      </w:pPr>
      <w:r>
        <w:rPr>
          <w:rFonts w:hint="eastAsia" w:ascii="方正小标宋简体" w:hAnsi="微软雅黑" w:eastAsia="方正小标宋简体"/>
          <w:color w:val="333949"/>
          <w:sz w:val="44"/>
          <w:szCs w:val="44"/>
          <w:lang w:val="en-US" w:eastAsia="zh-CN"/>
        </w:rPr>
        <w:t>职能部门</w:t>
      </w:r>
      <w:r>
        <w:rPr>
          <w:rFonts w:hint="eastAsia" w:ascii="方正小标宋简体" w:hAnsi="微软雅黑" w:eastAsia="方正小标宋简体"/>
          <w:color w:val="333949"/>
          <w:sz w:val="44"/>
          <w:szCs w:val="44"/>
          <w:lang w:val="zh-CN"/>
        </w:rPr>
        <w:t>不得确定为优秀等次事项</w:t>
      </w:r>
    </w:p>
    <w:p>
      <w:pPr>
        <w:keepNext w:val="0"/>
        <w:keepLines w:val="0"/>
        <w:pageBreakBefore w:val="0"/>
        <w:widowControl/>
        <w:kinsoku/>
        <w:wordWrap/>
        <w:overflowPunct/>
        <w:topLinePunct w:val="0"/>
        <w:autoSpaceDE/>
        <w:autoSpaceDN/>
        <w:bidi w:val="0"/>
        <w:spacing w:line="600" w:lineRule="exact"/>
        <w:jc w:val="center"/>
        <w:textAlignment w:val="auto"/>
        <w:rPr>
          <w:rFonts w:ascii="方正小标宋简体" w:hAnsi="微软雅黑" w:eastAsia="方正小标宋简体"/>
          <w:color w:val="333949"/>
          <w:sz w:val="44"/>
          <w:szCs w:val="44"/>
          <w:lang w:val="zh-CN"/>
        </w:rPr>
      </w:pPr>
      <w:r>
        <w:rPr>
          <w:rFonts w:hint="eastAsia" w:ascii="方正小标宋简体" w:hAnsi="微软雅黑" w:eastAsia="方正小标宋简体"/>
          <w:color w:val="333949"/>
          <w:sz w:val="44"/>
          <w:szCs w:val="44"/>
          <w:lang w:val="zh-CN"/>
        </w:rPr>
        <w:t>和直接确定为较差等次事项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olor w:val="333949"/>
          <w:sz w:val="32"/>
          <w:szCs w:val="32"/>
          <w:lang w:val="zh-CN"/>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olor w:val="333949"/>
          <w:sz w:val="32"/>
          <w:szCs w:val="32"/>
          <w:lang w:val="zh-CN"/>
        </w:rPr>
      </w:pPr>
      <w:r>
        <w:rPr>
          <w:rFonts w:hint="eastAsia" w:ascii="黑体" w:hAnsi="黑体" w:eastAsia="黑体"/>
          <w:color w:val="333949"/>
          <w:sz w:val="32"/>
          <w:szCs w:val="32"/>
          <w:lang w:val="zh-CN"/>
        </w:rPr>
        <w:t>一、不得确定为优秀等次事项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（一）</w:t>
      </w:r>
      <w:r>
        <w:rPr>
          <w:rFonts w:hint="eastAsia" w:ascii="仿宋_GB2312" w:eastAsia="仿宋_GB2312"/>
          <w:sz w:val="32"/>
          <w:szCs w:val="32"/>
        </w:rPr>
        <w:t>党建思政工作达不到85分的</w:t>
      </w:r>
      <w:r>
        <w:rPr>
          <w:rFonts w:hint="eastAsia" w:ascii="仿宋_GB2312" w:hAnsi="微软雅黑" w:eastAsia="仿宋_GB2312"/>
          <w:color w:val="333949"/>
          <w:sz w:val="32"/>
          <w:szCs w:val="32"/>
          <w:lang w:val="zh-CN"/>
        </w:rPr>
        <w:t>，或受到行政处罚的，或被问责的；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（二）部门工作人员受到党纪、政纪处分或法律追究的；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eastAsia="仿宋_GB2312"/>
          <w:sz w:val="32"/>
          <w:szCs w:val="32"/>
        </w:rPr>
      </w:pPr>
      <w:r>
        <w:rPr>
          <w:rFonts w:hint="eastAsia" w:ascii="仿宋_GB2312" w:hAnsi="微软雅黑" w:eastAsia="仿宋_GB2312"/>
          <w:color w:val="333949"/>
          <w:sz w:val="32"/>
          <w:szCs w:val="32"/>
          <w:lang w:val="zh-CN"/>
        </w:rPr>
        <w:t>（三）</w:t>
      </w:r>
      <w:r>
        <w:rPr>
          <w:rFonts w:hint="eastAsia" w:ascii="仿宋_GB2312" w:eastAsia="仿宋_GB2312"/>
          <w:sz w:val="32"/>
          <w:szCs w:val="32"/>
        </w:rPr>
        <w:t xml:space="preserve">发生群体性事件或对突发事件处置不当，造成一定影响的；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（四）</w:t>
      </w:r>
      <w:r>
        <w:rPr>
          <w:rFonts w:hint="eastAsia" w:ascii="仿宋_GB2312" w:eastAsia="仿宋_GB2312"/>
          <w:sz w:val="32"/>
          <w:szCs w:val="32"/>
        </w:rPr>
        <w:t>发生严重教学事故或发现师德师风问题，经认定为管理责任的；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（五）其他造成不良社会影响的。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olor w:val="333949"/>
          <w:sz w:val="32"/>
          <w:szCs w:val="32"/>
          <w:lang w:val="zh-CN"/>
        </w:rPr>
      </w:pPr>
      <w:r>
        <w:rPr>
          <w:rFonts w:hint="eastAsia" w:ascii="黑体" w:hAnsi="黑体" w:eastAsia="黑体"/>
          <w:color w:val="333949"/>
          <w:sz w:val="32"/>
          <w:szCs w:val="32"/>
          <w:lang w:val="zh-CN"/>
        </w:rPr>
        <w:t>二、直接确定为较差等次事项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（一）落实全面从严治党主体责任和监督责任不力的；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（二）发生重大政治事件、重大违纪违法事件、意识形态领域重大事件，造成严重社会影响的；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 xml:space="preserve">（三）造成国有资产重大损失的，或出现校园安全重、特大事故的；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（四）因疫情防控责任不落实，发生校园聚集性疫情的；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（五）按照有关规定被“一票否决”的；</w:t>
      </w:r>
    </w:p>
    <w:p>
      <w:pPr>
        <w:keepNext w:val="0"/>
        <w:keepLines w:val="0"/>
        <w:pageBreakBefore w:val="0"/>
        <w:widowControl/>
        <w:kinsoku/>
        <w:wordWrap/>
        <w:overflowPunct/>
        <w:topLinePunct w:val="0"/>
        <w:autoSpaceDE/>
        <w:autoSpaceDN/>
        <w:bidi w:val="0"/>
        <w:adjustRightInd/>
        <w:snapToGrid/>
        <w:spacing w:line="240" w:lineRule="exact"/>
        <w:ind w:left="0" w:leftChars="0" w:firstLine="6080" w:firstLineChars="1900"/>
        <w:jc w:val="both"/>
        <w:textAlignment w:val="auto"/>
        <w:rPr>
          <w:rFonts w:hint="eastAsia" w:ascii="仿宋_GB2312" w:hAnsi="微软雅黑" w:eastAsia="仿宋_GB2312"/>
          <w:color w:val="333949"/>
          <w:sz w:val="32"/>
          <w:szCs w:val="32"/>
          <w:lang w:val="zh-CN" w:eastAsia="zh-CN"/>
        </w:rPr>
      </w:pPr>
    </w:p>
    <w:p>
      <w:pPr>
        <w:keepNext w:val="0"/>
        <w:keepLines w:val="0"/>
        <w:pageBreakBefore w:val="0"/>
        <w:widowControl/>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微软雅黑" w:eastAsia="仿宋_GB2312"/>
          <w:color w:val="333949"/>
          <w:sz w:val="32"/>
          <w:szCs w:val="32"/>
          <w:lang w:val="zh-CN" w:eastAsia="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微软雅黑" w:eastAsia="仿宋_GB2312"/>
          <w:color w:val="333949"/>
          <w:sz w:val="32"/>
          <w:szCs w:val="32"/>
          <w:lang w:val="zh-CN" w:eastAsia="zh-CN"/>
        </w:rPr>
        <w:t>2021年</w:t>
      </w:r>
      <w:r>
        <w:rPr>
          <w:rFonts w:hint="eastAsia" w:ascii="仿宋_GB2312" w:hAnsi="微软雅黑" w:eastAsia="仿宋_GB2312"/>
          <w:color w:val="333949"/>
          <w:sz w:val="32"/>
          <w:szCs w:val="32"/>
          <w:lang w:val="en-US" w:eastAsia="zh-CN"/>
        </w:rPr>
        <w:t>4</w:t>
      </w:r>
      <w:r>
        <w:rPr>
          <w:rFonts w:hint="eastAsia" w:ascii="仿宋_GB2312" w:hAnsi="微软雅黑" w:eastAsia="仿宋_GB2312"/>
          <w:color w:val="333949"/>
          <w:sz w:val="32"/>
          <w:szCs w:val="32"/>
          <w:lang w:val="zh-CN" w:eastAsia="zh-CN"/>
        </w:rPr>
        <w:t>月</w:t>
      </w:r>
      <w:r>
        <w:rPr>
          <w:rFonts w:hint="eastAsia" w:ascii="仿宋_GB2312" w:hAnsi="微软雅黑" w:eastAsia="仿宋_GB2312"/>
          <w:color w:val="333949"/>
          <w:sz w:val="32"/>
          <w:szCs w:val="32"/>
          <w:lang w:val="en-US" w:eastAsia="zh-CN"/>
        </w:rPr>
        <w:t>28</w:t>
      </w:r>
      <w:r>
        <w:rPr>
          <w:rFonts w:hint="eastAsia" w:ascii="仿宋_GB2312" w:hAnsi="微软雅黑" w:eastAsia="仿宋_GB2312"/>
          <w:color w:val="333949"/>
          <w:sz w:val="32"/>
          <w:szCs w:val="32"/>
          <w:lang w:val="zh-CN" w:eastAsia="zh-CN"/>
        </w:rPr>
        <w:t>日</w:t>
      </w:r>
    </w:p>
    <w:p>
      <w:pPr>
        <w:spacing w:line="58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枣庄科技职业学院</w:t>
      </w:r>
    </w:p>
    <w:p>
      <w:pPr>
        <w:spacing w:line="58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2020年度教学部门</w:t>
      </w:r>
      <w:r>
        <w:rPr>
          <w:rFonts w:hint="eastAsia" w:ascii="方正小标宋简体" w:hAnsi="华文中宋" w:eastAsia="方正小标宋简体"/>
          <w:sz w:val="44"/>
          <w:szCs w:val="44"/>
          <w:lang w:val="en-US" w:eastAsia="zh-CN"/>
        </w:rPr>
        <w:t>绩效</w:t>
      </w:r>
      <w:r>
        <w:rPr>
          <w:rFonts w:hint="eastAsia" w:ascii="方正小标宋简体" w:hAnsi="华文中宋" w:eastAsia="方正小标宋简体"/>
          <w:sz w:val="44"/>
          <w:szCs w:val="44"/>
        </w:rPr>
        <w:t>考核办法</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hint="eastAsia" w:ascii="楷体" w:hAnsi="楷体" w:eastAsia="楷体" w:cs="楷体"/>
          <w:spacing w:val="-20"/>
          <w:sz w:val="32"/>
          <w:szCs w:val="32"/>
        </w:rPr>
      </w:pPr>
      <w:r>
        <w:rPr>
          <w:rFonts w:hint="eastAsia" w:ascii="楷体" w:hAnsi="楷体" w:eastAsia="楷体" w:cs="楷体"/>
          <w:spacing w:val="-20"/>
          <w:sz w:val="32"/>
          <w:szCs w:val="32"/>
        </w:rPr>
        <w:t>（试  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根据《山东省事业单位考核委员会关于印发&lt;2020 年度省属事业单位绩效考核总体方案&gt;的通知》（鲁事考委〔2020〕1 号）、山东省高等职业院校办学质量考核的通知精神，现就开展 2020 年度教学部门绩效考核提出以下办法。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一、考核对象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考核对象为院属各教学部门，包括机械工程系、电气工程系、信息工程系、建筑工程系、医学技术系、基础部、继续教育中心。考核按自然年度进行。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olor w:val="auto"/>
          <w:sz w:val="32"/>
          <w:szCs w:val="32"/>
          <w:lang w:val="en-US"/>
        </w:rPr>
      </w:pPr>
      <w:r>
        <w:rPr>
          <w:rFonts w:hint="eastAsia" w:ascii="仿宋_GB2312" w:eastAsia="仿宋_GB2312"/>
          <w:color w:val="auto"/>
          <w:sz w:val="32"/>
          <w:szCs w:val="32"/>
        </w:rPr>
        <w:t>基础部、继续教育中心</w:t>
      </w:r>
      <w:r>
        <w:rPr>
          <w:rFonts w:hint="eastAsia" w:ascii="仿宋_GB2312" w:eastAsia="仿宋_GB2312"/>
          <w:color w:val="auto"/>
          <w:sz w:val="32"/>
          <w:szCs w:val="32"/>
          <w:lang w:eastAsia="zh-CN"/>
        </w:rPr>
        <w:t>、</w:t>
      </w:r>
      <w:r>
        <w:rPr>
          <w:rFonts w:hint="eastAsia" w:ascii="仿宋_GB2312" w:eastAsia="仿宋_GB2312"/>
          <w:color w:val="auto"/>
          <w:sz w:val="32"/>
          <w:szCs w:val="32"/>
        </w:rPr>
        <w:t>因工作性质特殊，</w:t>
      </w:r>
      <w:r>
        <w:rPr>
          <w:rFonts w:hint="eastAsia" w:ascii="仿宋_GB2312" w:eastAsia="仿宋_GB2312"/>
          <w:color w:val="auto"/>
          <w:sz w:val="32"/>
          <w:szCs w:val="32"/>
          <w:lang w:val="en-US" w:eastAsia="zh-CN"/>
        </w:rPr>
        <w:t>参与考核但</w:t>
      </w:r>
      <w:r>
        <w:rPr>
          <w:rFonts w:hint="eastAsia" w:ascii="仿宋_GB2312" w:eastAsia="仿宋_GB2312"/>
          <w:color w:val="auto"/>
          <w:sz w:val="32"/>
          <w:szCs w:val="32"/>
        </w:rPr>
        <w:t>不参与考核排名。</w:t>
      </w:r>
      <w:r>
        <w:rPr>
          <w:rFonts w:hint="eastAsia" w:ascii="仿宋_GB2312" w:eastAsia="仿宋_GB2312"/>
          <w:color w:val="auto"/>
          <w:sz w:val="32"/>
          <w:szCs w:val="32"/>
          <w:lang w:val="en-US" w:eastAsia="zh-CN"/>
        </w:rPr>
        <w:t>滕州市职教中心、滕州市高级技工学校作为独立教学单位，此次不参与考核。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二、考核指标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考核指标体系分为新时期党的建设质量考核指标、履行工作职责考核指标、办学质量考核指标、满意度测评、加分项与减分项五部分。总分为1</w:t>
      </w:r>
      <w:r>
        <w:rPr>
          <w:rFonts w:ascii="仿宋_GB2312" w:hAnsi="黑体" w:eastAsia="仿宋_GB2312"/>
          <w:color w:val="auto"/>
          <w:sz w:val="32"/>
          <w:szCs w:val="32"/>
        </w:rPr>
        <w:t>00</w:t>
      </w:r>
      <w:r>
        <w:rPr>
          <w:rFonts w:hint="eastAsia" w:ascii="仿宋_GB2312" w:hAnsi="黑体" w:eastAsia="仿宋_GB2312"/>
          <w:color w:val="auto"/>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color w:val="auto"/>
          <w:sz w:val="32"/>
          <w:szCs w:val="32"/>
        </w:rPr>
      </w:pPr>
      <w:r>
        <w:rPr>
          <w:rFonts w:hint="eastAsia" w:ascii="楷体" w:hAnsi="楷体" w:eastAsia="楷体" w:cs="楷体"/>
          <w:b/>
          <w:color w:val="auto"/>
          <w:sz w:val="32"/>
          <w:szCs w:val="32"/>
        </w:rPr>
        <w:t>（一）新时期党的建设质量考核指标（10%）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主要考核教学部门党建与思政工作情况，包括思想政治建设、基层组织建设、作风纪律建设</w:t>
      </w:r>
      <w:r>
        <w:rPr>
          <w:rFonts w:ascii="仿宋_GB2312" w:eastAsia="仿宋_GB2312"/>
          <w:color w:val="auto"/>
          <w:sz w:val="32"/>
          <w:szCs w:val="32"/>
        </w:rPr>
        <w:t>3</w:t>
      </w:r>
      <w:r>
        <w:rPr>
          <w:rFonts w:hint="eastAsia" w:ascii="仿宋_GB2312" w:eastAsia="仿宋_GB2312"/>
          <w:color w:val="auto"/>
          <w:sz w:val="32"/>
          <w:szCs w:val="32"/>
        </w:rPr>
        <w:t>个一级指标、9个二级指标</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附件1</w:t>
      </w:r>
      <w:r>
        <w:rPr>
          <w:rFonts w:hint="eastAsia" w:ascii="仿宋_GB2312" w:eastAsia="仿宋_GB2312"/>
          <w:color w:val="auto"/>
          <w:sz w:val="32"/>
          <w:szCs w:val="32"/>
          <w:lang w:eastAsia="zh-CN"/>
        </w:rPr>
        <w:t>）</w:t>
      </w:r>
      <w:r>
        <w:rPr>
          <w:rFonts w:hint="eastAsia" w:ascii="仿宋_GB2312" w:eastAsia="仿宋_GB2312"/>
          <w:color w:val="auto"/>
          <w:sz w:val="32"/>
          <w:szCs w:val="32"/>
        </w:rPr>
        <w:t>。考核评价标准要按照“好”“较好”“差”三个等次确定结果。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考核评价</w:t>
      </w:r>
      <w:r>
        <w:rPr>
          <w:rFonts w:hint="eastAsia" w:ascii="仿宋_GB2312" w:eastAsia="仿宋_GB2312"/>
          <w:color w:val="auto"/>
          <w:sz w:val="32"/>
          <w:szCs w:val="32"/>
        </w:rPr>
        <w:t>=（“好”的个数×100%+“较好”的个数×80%+“</w:t>
      </w:r>
      <w:r>
        <w:rPr>
          <w:rFonts w:hint="eastAsia" w:ascii="仿宋_GB2312" w:eastAsia="仿宋_GB2312"/>
          <w:color w:val="auto"/>
          <w:sz w:val="32"/>
          <w:szCs w:val="32"/>
          <w:lang w:val="en-US" w:eastAsia="zh-CN"/>
        </w:rPr>
        <w:t>差</w:t>
      </w:r>
      <w:r>
        <w:rPr>
          <w:rFonts w:hint="eastAsia" w:ascii="仿宋_GB2312" w:eastAsia="仿宋_GB2312"/>
          <w:color w:val="auto"/>
          <w:sz w:val="32"/>
          <w:szCs w:val="32"/>
        </w:rPr>
        <w:t>”的个数×50%）×100÷评价要点个数×10%</w:t>
      </w:r>
      <w:r>
        <w:rPr>
          <w:rFonts w:hint="eastAsia" w:ascii="仿宋_GB2312"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 xml:space="preserve">（二）履行工作职责考核指标（40%）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主要包括教学部门教学工作、学生工作、招生就业、安全管理、内部治理等5个一级指标、20个二级指标</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附件2</w:t>
      </w:r>
      <w:r>
        <w:rPr>
          <w:rFonts w:hint="eastAsia" w:ascii="仿宋_GB2312" w:eastAsia="仿宋_GB2312"/>
          <w:color w:val="auto"/>
          <w:sz w:val="32"/>
          <w:szCs w:val="32"/>
          <w:lang w:eastAsia="zh-CN"/>
        </w:rPr>
        <w:t>）</w:t>
      </w:r>
      <w:r>
        <w:rPr>
          <w:rFonts w:hint="eastAsia" w:ascii="仿宋_GB2312" w:eastAsia="仿宋_GB2312"/>
          <w:color w:val="auto"/>
          <w:sz w:val="32"/>
          <w:szCs w:val="32"/>
        </w:rPr>
        <w:t>。考核要点要按照各指标分值权重，进行分档赋分。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（三）办学质量考核指标（40%）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办学质量考核指标根据《山东省高职院校办学质量年度考核指标》提出，主要考核教学部门在人才培养、产教融合、师资队伍、社会服务、国际交流与合作等方面取得的质量成果。有6个一级指标，16个二级指标</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附件3</w:t>
      </w:r>
      <w:r>
        <w:rPr>
          <w:rFonts w:hint="eastAsia" w:ascii="仿宋_GB2312" w:eastAsia="仿宋_GB2312"/>
          <w:color w:val="auto"/>
          <w:sz w:val="32"/>
          <w:szCs w:val="32"/>
          <w:lang w:eastAsia="zh-CN"/>
        </w:rPr>
        <w:t>）</w:t>
      </w:r>
      <w:r>
        <w:rPr>
          <w:rFonts w:hint="eastAsia" w:ascii="仿宋_GB2312" w:eastAsia="仿宋_GB2312"/>
          <w:color w:val="auto"/>
          <w:sz w:val="32"/>
          <w:szCs w:val="32"/>
        </w:rPr>
        <w:t>。考核评价要按照各指标分值权重，进行分档或排序赋分。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（四）满意度测评（10%）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满意度测评采用民主测评方式,包括领导测评、部门间互评</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附件6</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（五）加分项与减分项（20分）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加分项依据山东省高职院校办学质量考核中的特色创新项目指标进行评定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附件4</w:t>
      </w:r>
      <w:r>
        <w:rPr>
          <w:rFonts w:hint="eastAsia" w:ascii="仿宋_GB2312" w:eastAsia="仿宋_GB2312"/>
          <w:color w:val="auto"/>
          <w:sz w:val="32"/>
          <w:szCs w:val="32"/>
          <w:lang w:eastAsia="zh-CN"/>
        </w:rPr>
        <w:t>）</w:t>
      </w:r>
      <w:r>
        <w:rPr>
          <w:rFonts w:hint="eastAsia" w:ascii="仿宋_GB2312" w:eastAsia="仿宋_GB2312"/>
          <w:color w:val="auto"/>
          <w:sz w:val="32"/>
          <w:szCs w:val="32"/>
        </w:rPr>
        <w:t>，对获得省级以上奖励等方面做出突出贡献的教学部门按指标加分，最多加2</w:t>
      </w:r>
      <w:r>
        <w:rPr>
          <w:rFonts w:ascii="仿宋_GB2312" w:eastAsia="仿宋_GB2312"/>
          <w:color w:val="auto"/>
          <w:sz w:val="32"/>
          <w:szCs w:val="32"/>
        </w:rPr>
        <w:t>0</w:t>
      </w:r>
      <w:r>
        <w:rPr>
          <w:rFonts w:hint="eastAsia" w:ascii="仿宋_GB2312" w:eastAsia="仿宋_GB2312"/>
          <w:color w:val="auto"/>
          <w:sz w:val="32"/>
          <w:szCs w:val="32"/>
        </w:rPr>
        <w:t>分；减分项依据有关规定制定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附件5</w:t>
      </w:r>
      <w:r>
        <w:rPr>
          <w:rFonts w:hint="eastAsia" w:ascii="仿宋_GB2312" w:eastAsia="仿宋_GB2312"/>
          <w:color w:val="auto"/>
          <w:sz w:val="32"/>
          <w:szCs w:val="32"/>
          <w:lang w:eastAsia="zh-CN"/>
        </w:rPr>
        <w:t>）</w:t>
      </w:r>
      <w:r>
        <w:rPr>
          <w:rFonts w:hint="eastAsia" w:ascii="仿宋_GB2312" w:eastAsia="仿宋_GB2312"/>
          <w:color w:val="auto"/>
          <w:sz w:val="32"/>
          <w:szCs w:val="32"/>
        </w:rPr>
        <w:t>，对在党风廉政、意识形态、师德师风、履行职责等方面出现重大失误或严重问题的部门进行酌情减分，最多减</w:t>
      </w:r>
      <w:r>
        <w:rPr>
          <w:rFonts w:ascii="仿宋_GB2312" w:eastAsia="仿宋_GB2312"/>
          <w:color w:val="auto"/>
          <w:sz w:val="32"/>
          <w:szCs w:val="32"/>
        </w:rPr>
        <w:t>20</w:t>
      </w:r>
      <w:r>
        <w:rPr>
          <w:rFonts w:hint="eastAsia" w:asci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三、考核程序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（一）考核组织。成立教学部门考核工作组，由分管教学副院长任组长，</w:t>
      </w:r>
      <w:r>
        <w:rPr>
          <w:rFonts w:hint="eastAsia" w:ascii="仿宋_GB2312" w:eastAsia="仿宋_GB2312"/>
          <w:color w:val="auto"/>
          <w:sz w:val="32"/>
          <w:szCs w:val="32"/>
          <w:lang w:val="en-US" w:eastAsia="zh-CN"/>
        </w:rPr>
        <w:t>教务处处长、教学督导室主任为</w:t>
      </w:r>
      <w:r>
        <w:rPr>
          <w:rFonts w:hint="eastAsia" w:ascii="仿宋_GB2312" w:eastAsia="仿宋_GB2312"/>
          <w:color w:val="auto"/>
          <w:sz w:val="32"/>
          <w:szCs w:val="32"/>
        </w:rPr>
        <w:t>副组长，有考核责任的职能部门负责人任成员，绩效考核办公室人员为秘书。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（二）开展自评。</w:t>
      </w:r>
      <w:bookmarkStart w:id="5" w:name="_Hlk61441958"/>
      <w:r>
        <w:rPr>
          <w:rFonts w:hint="eastAsia" w:ascii="仿宋_GB2312" w:eastAsia="仿宋_GB2312"/>
          <w:color w:val="auto"/>
          <w:sz w:val="32"/>
          <w:szCs w:val="32"/>
        </w:rPr>
        <w:t>各教学部门根据考核办法及指标体系，进行自我评估，形成自评报告，提报考核材料。</w:t>
      </w:r>
    </w:p>
    <w:bookmarkEnd w:id="5"/>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（三）组织评价。考核组人员根据自评情况对教学部门进行网络考核、评分（必要时可具体细化相应的考核指标），视情况进行实地考察。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（四）汇总计分。教学部门绩效考核工作组汇总各指标的考核评分，根据定性评价、定量赋分结果进行分数统计，并提出各教学部门的年度考核等次，</w:t>
      </w:r>
      <w:bookmarkStart w:id="6" w:name="_Hlk60989064"/>
      <w:r>
        <w:rPr>
          <w:rFonts w:hint="eastAsia" w:ascii="仿宋_GB2312" w:eastAsia="仿宋_GB2312"/>
          <w:color w:val="auto"/>
          <w:sz w:val="32"/>
          <w:szCs w:val="32"/>
        </w:rPr>
        <w:t>报学院考核工作领导小组审定后，经学院党委会研究确定，向各部门通报考核情况。</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80" w:firstLineChars="150"/>
        <w:textAlignment w:val="auto"/>
        <w:rPr>
          <w:rFonts w:ascii="仿宋_GB2312" w:eastAsia="仿宋_GB2312"/>
          <w:color w:val="auto"/>
          <w:sz w:val="32"/>
          <w:szCs w:val="32"/>
        </w:rPr>
      </w:pPr>
      <w:bookmarkStart w:id="7" w:name="_Hlk64556748"/>
      <w:r>
        <w:rPr>
          <w:rFonts w:hint="eastAsia" w:ascii="仿宋_GB2312" w:eastAsia="仿宋_GB2312"/>
          <w:color w:val="auto"/>
          <w:sz w:val="32"/>
          <w:szCs w:val="32"/>
        </w:rPr>
        <w:t>(五)考核结果分为A、B、C三个档次。（A档为前</w:t>
      </w:r>
      <w:r>
        <w:rPr>
          <w:rFonts w:hint="eastAsia" w:ascii="仿宋_GB2312" w:eastAsia="仿宋_GB2312"/>
          <w:color w:val="auto"/>
          <w:sz w:val="32"/>
          <w:szCs w:val="32"/>
          <w:lang w:val="en-US" w:eastAsia="zh-CN"/>
        </w:rPr>
        <w:t>25</w:t>
      </w:r>
      <w:r>
        <w:rPr>
          <w:rFonts w:ascii="仿宋_GB2312" w:eastAsia="仿宋_GB2312"/>
          <w:color w:val="auto"/>
          <w:sz w:val="32"/>
          <w:szCs w:val="32"/>
        </w:rPr>
        <w:t>%</w:t>
      </w:r>
      <w:r>
        <w:rPr>
          <w:rFonts w:hint="eastAsia" w:ascii="仿宋_GB2312" w:eastAsia="仿宋_GB2312"/>
          <w:color w:val="auto"/>
          <w:sz w:val="32"/>
          <w:szCs w:val="32"/>
        </w:rPr>
        <w:t>，B档为</w:t>
      </w:r>
      <w:r>
        <w:rPr>
          <w:rFonts w:hint="eastAsia" w:ascii="仿宋_GB2312" w:eastAsia="仿宋_GB2312"/>
          <w:color w:val="auto"/>
          <w:sz w:val="32"/>
          <w:szCs w:val="32"/>
          <w:lang w:val="en-US" w:eastAsia="zh-CN"/>
        </w:rPr>
        <w:t>前26</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70</w:t>
      </w:r>
      <w:r>
        <w:rPr>
          <w:rFonts w:ascii="仿宋_GB2312" w:eastAsia="仿宋_GB2312"/>
          <w:color w:val="auto"/>
          <w:sz w:val="32"/>
          <w:szCs w:val="32"/>
        </w:rPr>
        <w:t>%</w:t>
      </w:r>
      <w:r>
        <w:rPr>
          <w:rFonts w:hint="eastAsia" w:ascii="仿宋_GB2312" w:eastAsia="仿宋_GB2312"/>
          <w:color w:val="auto"/>
          <w:sz w:val="32"/>
          <w:szCs w:val="32"/>
        </w:rPr>
        <w:t>，以下为C档）。有“不得确定为优秀等次事项”(附件</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)的教学部门最高为B档，有“直接确定为较差等次事项”(附件</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)的部门为Ｃ档。考核结果经公示无异议后公布。</w:t>
      </w:r>
    </w:p>
    <w:bookmarkEnd w:id="6"/>
    <w:bookmarkEnd w:id="7"/>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四、考核结果使用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一）考核结果作为集体表彰的评选依据。根据考核结果在学院范围内通报考评结果，设立教学部门综合考核奖，对优秀教学部门予以表彰，奖励办法由党委研究决定。获奖教学部门直接认定为“学院先进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二）考核结果作为干部选拔任用的重要依据。连续两年考核被确定为一等奖的教学部门，组织部门对在选拔任用干部时可作为参考依据。连续三年考核排名最后的教学部门主要负责人，组织部门可对其进行训诫或调整，对当年度排名末位次的教学部门主要负责人进行约谈，责成进行整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三）考核结果与教职工年度考核评奖挂钩。考核末位的教学部门主要负责人当年度考核不得确定为“优秀”等次。对考核排名第一的教学部门增加1人年度考核“优秀”；排名末位的教学部门减少1人年度考核“优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五、工作要求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（一）学院各教学部门要高度重视绩效考核工作，增强大局意识、责任意识和配合意识，统筹力量完成好绩效考核任务，引导各方面把精力真正放到干事创业、促进发展上来。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考核组要严格遵守各项党风廉政纪律和工作纪律，严禁任何组织和个人以任何形式干扰考核，严禁弄虚作假、徇私舞弊。要提升考核质量，严把数据关口，精准实施考核，确保结果经得起推敲、数据经得起倒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（三）严格按照本办法规定和程序组织实施考核，严禁擅自变通，严禁干扰教学部门日常工作。对违反考核工作纪律的部门和个人，按照有关规定严肃追究责任。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附件：1</w:t>
      </w:r>
      <w:r>
        <w:rPr>
          <w:rFonts w:ascii="仿宋_GB2312" w:eastAsia="仿宋_GB2312"/>
          <w:color w:val="auto"/>
          <w:sz w:val="32"/>
          <w:szCs w:val="32"/>
        </w:rPr>
        <w:t>.</w:t>
      </w:r>
      <w:r>
        <w:rPr>
          <w:rFonts w:hint="eastAsia" w:ascii="仿宋_GB2312" w:eastAsia="仿宋_GB2312"/>
          <w:color w:val="auto"/>
          <w:sz w:val="32"/>
          <w:szCs w:val="32"/>
        </w:rPr>
        <w:t>教学部门新时期党的建设质量考核指标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w:t>
      </w:r>
      <w:r>
        <w:rPr>
          <w:rFonts w:ascii="仿宋_GB2312" w:eastAsia="仿宋_GB2312"/>
          <w:color w:val="auto"/>
          <w:sz w:val="32"/>
          <w:szCs w:val="32"/>
        </w:rPr>
        <w:t xml:space="preserve">     2.</w:t>
      </w:r>
      <w:r>
        <w:rPr>
          <w:rFonts w:hint="eastAsia" w:ascii="仿宋_GB2312" w:eastAsia="仿宋_GB2312"/>
          <w:color w:val="auto"/>
          <w:sz w:val="32"/>
          <w:szCs w:val="32"/>
        </w:rPr>
        <w:t>教学部门履行工作职责考核指标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w:t>
      </w:r>
      <w:r>
        <w:rPr>
          <w:rFonts w:ascii="仿宋_GB2312" w:eastAsia="仿宋_GB2312"/>
          <w:color w:val="auto"/>
          <w:sz w:val="32"/>
          <w:szCs w:val="32"/>
        </w:rPr>
        <w:t xml:space="preserve">     3.</w:t>
      </w:r>
      <w:r>
        <w:rPr>
          <w:rFonts w:hint="eastAsia" w:ascii="仿宋_GB2312" w:eastAsia="仿宋_GB2312"/>
          <w:color w:val="auto"/>
          <w:sz w:val="32"/>
          <w:szCs w:val="32"/>
        </w:rPr>
        <w:t>教学部门办学质量考核指标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w:t>
      </w:r>
      <w:r>
        <w:rPr>
          <w:rFonts w:ascii="仿宋_GB2312" w:eastAsia="仿宋_GB2312"/>
          <w:color w:val="auto"/>
          <w:sz w:val="32"/>
          <w:szCs w:val="32"/>
        </w:rPr>
        <w:t xml:space="preserve">     4</w:t>
      </w:r>
      <w:r>
        <w:rPr>
          <w:rFonts w:hint="eastAsia" w:ascii="仿宋_GB2312" w:eastAsia="仿宋_GB2312"/>
          <w:color w:val="auto"/>
          <w:sz w:val="32"/>
          <w:szCs w:val="32"/>
        </w:rPr>
        <w:t>.教学部门特色创新项目加分指标</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eastAsia="仿宋_GB2312"/>
          <w:color w:val="auto"/>
          <w:sz w:val="32"/>
          <w:szCs w:val="32"/>
        </w:rPr>
      </w:pPr>
      <w:bookmarkStart w:id="8" w:name="_Hlk64558197"/>
      <w:r>
        <w:rPr>
          <w:rFonts w:hint="eastAsia" w:ascii="仿宋_GB2312" w:eastAsia="仿宋_GB2312"/>
          <w:color w:val="auto"/>
          <w:sz w:val="32"/>
          <w:szCs w:val="32"/>
        </w:rPr>
        <w:t>5.教学部门</w:t>
      </w:r>
      <w:bookmarkEnd w:id="8"/>
      <w:r>
        <w:rPr>
          <w:rFonts w:hint="eastAsia" w:ascii="仿宋_GB2312" w:eastAsia="仿宋_GB2312"/>
          <w:color w:val="auto"/>
          <w:sz w:val="32"/>
          <w:szCs w:val="32"/>
        </w:rPr>
        <w:t>绩效考核减分项指标</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6.教学部门民主测评表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en-US" w:eastAsia="zh-CN"/>
        </w:rPr>
        <w:t>7.教学部门</w:t>
      </w:r>
      <w:r>
        <w:rPr>
          <w:rFonts w:hint="eastAsia" w:ascii="仿宋_GB2312" w:eastAsia="仿宋_GB2312"/>
          <w:color w:val="auto"/>
          <w:sz w:val="32"/>
          <w:szCs w:val="32"/>
          <w:lang w:val="zh-CN"/>
        </w:rPr>
        <w:t>不得确定为优秀等次事项和直接确</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zh-CN"/>
        </w:rPr>
        <w:t>定为较差等次事项</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640" w:firstLineChars="1450"/>
        <w:textAlignment w:val="auto"/>
        <w:rPr>
          <w:rFonts w:ascii="仿宋_GB2312" w:eastAsia="仿宋_GB2312"/>
          <w:color w:val="auto"/>
          <w:sz w:val="32"/>
          <w:szCs w:val="32"/>
        </w:rPr>
      </w:pPr>
      <w:r>
        <w:rPr>
          <w:rFonts w:hint="eastAsia" w:ascii="仿宋_GB2312" w:eastAsia="仿宋_GB2312"/>
          <w:color w:val="auto"/>
          <w:sz w:val="32"/>
          <w:szCs w:val="32"/>
        </w:rPr>
        <w:t>枣庄科技职业学院</w:t>
      </w:r>
    </w:p>
    <w:p>
      <w:pPr>
        <w:keepNext w:val="0"/>
        <w:keepLines w:val="0"/>
        <w:pageBreakBefore w:val="0"/>
        <w:widowControl w:val="0"/>
        <w:kinsoku/>
        <w:wordWrap/>
        <w:overflowPunct/>
        <w:topLinePunct w:val="0"/>
        <w:autoSpaceDE/>
        <w:autoSpaceDN/>
        <w:bidi w:val="0"/>
        <w:adjustRightInd/>
        <w:snapToGrid/>
        <w:spacing w:line="580" w:lineRule="exact"/>
        <w:ind w:firstLine="4640" w:firstLineChars="1450"/>
        <w:textAlignment w:val="auto"/>
        <w:rPr>
          <w:rFonts w:hint="eastAsia" w:ascii="仿宋_GB2312" w:eastAsia="仿宋_GB2312"/>
          <w:color w:val="auto"/>
          <w:sz w:val="32"/>
          <w:szCs w:val="32"/>
        </w:rPr>
        <w:sectPr>
          <w:pgSz w:w="11906" w:h="16838"/>
          <w:pgMar w:top="1440" w:right="1800" w:bottom="1440" w:left="1800" w:header="851" w:footer="992" w:gutter="0"/>
          <w:pgNumType w:fmt="numberInDash"/>
          <w:cols w:space="425" w:num="1"/>
          <w:docGrid w:type="lines" w:linePitch="312" w:charSpace="0"/>
        </w:sectPr>
      </w:pPr>
      <w:r>
        <w:rPr>
          <w:rFonts w:hint="eastAsia" w:ascii="仿宋_GB2312" w:eastAsia="仿宋_GB2312"/>
          <w:color w:val="auto"/>
          <w:sz w:val="32"/>
          <w:szCs w:val="32"/>
        </w:rPr>
        <w:t>2021年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日</w:t>
      </w:r>
    </w:p>
    <w:p>
      <w:pPr>
        <w:widowControl/>
        <w:adjustRightInd w:val="0"/>
        <w:snapToGrid w:val="0"/>
        <w:spacing w:line="600" w:lineRule="exact"/>
        <w:jc w:val="left"/>
        <w:rPr>
          <w:color w:val="000000"/>
          <w:sz w:val="32"/>
          <w:szCs w:val="32"/>
        </w:rPr>
      </w:pPr>
      <w:r>
        <w:rPr>
          <w:rFonts w:hint="eastAsia" w:ascii="黑体" w:hAnsi="黑体" w:eastAsia="黑体" w:cs="方正小标宋_GBK"/>
          <w:bCs/>
          <w:color w:val="000000"/>
          <w:kern w:val="0"/>
          <w:sz w:val="32"/>
          <w:szCs w:val="32"/>
        </w:rPr>
        <w:t>附件1</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_GBK" w:eastAsia="方正小标宋简体" w:cs="方正小标宋_GBK"/>
          <w:bCs/>
          <w:color w:val="000000"/>
          <w:kern w:val="0"/>
          <w:sz w:val="44"/>
          <w:szCs w:val="44"/>
        </w:rPr>
      </w:pPr>
      <w:r>
        <w:rPr>
          <w:rFonts w:hint="eastAsia" w:ascii="方正小标宋简体" w:hAnsi="方正小标宋_GBK" w:eastAsia="方正小标宋简体" w:cs="方正小标宋_GBK"/>
          <w:bCs/>
          <w:color w:val="000000"/>
          <w:kern w:val="0"/>
          <w:sz w:val="44"/>
          <w:szCs w:val="44"/>
        </w:rPr>
        <w:t>教学部门新时期党的建设</w:t>
      </w:r>
      <w:r>
        <w:rPr>
          <w:rFonts w:hint="eastAsia" w:ascii="方正小标宋简体" w:hAnsi="方正小标宋_GBK" w:eastAsia="方正小标宋简体" w:cs="方正小标宋_GBK"/>
          <w:bCs/>
          <w:color w:val="000000"/>
          <w:kern w:val="0"/>
          <w:sz w:val="44"/>
          <w:szCs w:val="44"/>
          <w:lang w:val="en-US" w:eastAsia="zh-CN"/>
        </w:rPr>
        <w:t>质量</w:t>
      </w:r>
      <w:r>
        <w:rPr>
          <w:rFonts w:hint="eastAsia" w:ascii="方正小标宋简体" w:hAnsi="方正小标宋_GBK" w:eastAsia="方正小标宋简体" w:cs="方正小标宋_GBK"/>
          <w:bCs/>
          <w:color w:val="000000"/>
          <w:kern w:val="0"/>
          <w:sz w:val="44"/>
          <w:szCs w:val="44"/>
        </w:rPr>
        <w:t>考核指标</w:t>
      </w:r>
    </w:p>
    <w:p>
      <w:pPr>
        <w:pStyle w:val="2"/>
      </w:pPr>
    </w:p>
    <w:tbl>
      <w:tblPr>
        <w:tblStyle w:val="7"/>
        <w:tblW w:w="13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700"/>
        <w:gridCol w:w="7087"/>
        <w:gridCol w:w="1980"/>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414" w:type="dxa"/>
            <w:vAlign w:val="center"/>
          </w:tcPr>
          <w:p>
            <w:pPr>
              <w:adjustRightInd w:val="0"/>
              <w:snapToGrid w:val="0"/>
              <w:spacing w:line="300" w:lineRule="exact"/>
              <w:jc w:val="center"/>
              <w:rPr>
                <w:rFonts w:eastAsia="黑体"/>
                <w:color w:val="000000"/>
                <w:kern w:val="0"/>
                <w:sz w:val="24"/>
              </w:rPr>
            </w:pPr>
            <w:r>
              <w:rPr>
                <w:rFonts w:hint="eastAsia" w:eastAsia="黑体" w:cs="黑体"/>
                <w:color w:val="000000"/>
                <w:kern w:val="0"/>
                <w:sz w:val="24"/>
              </w:rPr>
              <w:t>一级指标</w:t>
            </w:r>
          </w:p>
        </w:tc>
        <w:tc>
          <w:tcPr>
            <w:tcW w:w="1700" w:type="dxa"/>
            <w:vAlign w:val="center"/>
          </w:tcPr>
          <w:p>
            <w:pPr>
              <w:adjustRightInd w:val="0"/>
              <w:snapToGrid w:val="0"/>
              <w:spacing w:line="300" w:lineRule="exact"/>
              <w:jc w:val="center"/>
              <w:rPr>
                <w:rFonts w:eastAsia="黑体"/>
                <w:color w:val="000000"/>
                <w:kern w:val="0"/>
                <w:sz w:val="24"/>
              </w:rPr>
            </w:pPr>
            <w:r>
              <w:rPr>
                <w:rFonts w:hint="eastAsia" w:eastAsia="黑体"/>
                <w:color w:val="000000"/>
                <w:kern w:val="0"/>
                <w:sz w:val="24"/>
              </w:rPr>
              <w:t>二级指标</w:t>
            </w:r>
          </w:p>
        </w:tc>
        <w:tc>
          <w:tcPr>
            <w:tcW w:w="7087" w:type="dxa"/>
            <w:vAlign w:val="center"/>
          </w:tcPr>
          <w:p>
            <w:pPr>
              <w:adjustRightInd w:val="0"/>
              <w:snapToGrid w:val="0"/>
              <w:spacing w:line="300" w:lineRule="exact"/>
              <w:jc w:val="center"/>
              <w:rPr>
                <w:rFonts w:eastAsia="黑体"/>
                <w:color w:val="000000"/>
                <w:kern w:val="0"/>
                <w:sz w:val="24"/>
              </w:rPr>
            </w:pPr>
            <w:r>
              <w:rPr>
                <w:rFonts w:hint="eastAsia" w:eastAsia="黑体" w:cs="黑体"/>
                <w:color w:val="000000"/>
                <w:kern w:val="0"/>
                <w:sz w:val="24"/>
              </w:rPr>
              <w:t>考核要点</w:t>
            </w:r>
          </w:p>
        </w:tc>
        <w:tc>
          <w:tcPr>
            <w:tcW w:w="1980" w:type="dxa"/>
            <w:vAlign w:val="center"/>
          </w:tcPr>
          <w:p>
            <w:pPr>
              <w:adjustRightInd w:val="0"/>
              <w:snapToGrid w:val="0"/>
              <w:spacing w:line="300" w:lineRule="exact"/>
              <w:jc w:val="center"/>
              <w:rPr>
                <w:rFonts w:ascii="黑体" w:hAnsi="黑体" w:eastAsia="黑体"/>
                <w:color w:val="000000"/>
                <w:kern w:val="0"/>
                <w:sz w:val="24"/>
              </w:rPr>
            </w:pPr>
            <w:r>
              <w:rPr>
                <w:rFonts w:hint="eastAsia" w:ascii="黑体" w:hAnsi="黑体" w:eastAsia="黑体"/>
                <w:color w:val="000000"/>
                <w:kern w:val="0"/>
                <w:sz w:val="24"/>
              </w:rPr>
              <w:t>考核评价标准</w:t>
            </w:r>
          </w:p>
        </w:tc>
        <w:tc>
          <w:tcPr>
            <w:tcW w:w="1758" w:type="dxa"/>
            <w:vAlign w:val="center"/>
          </w:tcPr>
          <w:p>
            <w:pPr>
              <w:adjustRightInd w:val="0"/>
              <w:snapToGrid w:val="0"/>
              <w:spacing w:line="300" w:lineRule="exact"/>
              <w:jc w:val="center"/>
              <w:rPr>
                <w:rFonts w:hint="eastAsia" w:ascii="黑体" w:hAnsi="黑体" w:eastAsia="黑体" w:cs="黑体"/>
                <w:color w:val="000000"/>
                <w:kern w:val="0"/>
                <w:sz w:val="24"/>
              </w:rPr>
            </w:pPr>
            <w:r>
              <w:rPr>
                <w:rFonts w:hint="eastAsia" w:ascii="黑体" w:hAnsi="黑体" w:eastAsia="黑体" w:cs="黑体"/>
                <w:color w:val="000000"/>
                <w:kern w:val="0"/>
                <w:sz w:val="24"/>
              </w:rPr>
              <w:t>考核责任</w:t>
            </w:r>
          </w:p>
          <w:p>
            <w:pPr>
              <w:adjustRightInd w:val="0"/>
              <w:snapToGrid w:val="0"/>
              <w:spacing w:line="300" w:lineRule="exact"/>
              <w:jc w:val="center"/>
              <w:rPr>
                <w:rFonts w:eastAsia="黑体"/>
                <w:color w:val="000000"/>
                <w:kern w:val="0"/>
                <w:sz w:val="24"/>
              </w:rPr>
            </w:pPr>
            <w:r>
              <w:rPr>
                <w:rFonts w:hint="eastAsia" w:ascii="黑体" w:hAnsi="黑体" w:eastAsia="黑体" w:cs="黑体"/>
                <w:color w:val="000000"/>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414"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思想政治建设</w:t>
            </w:r>
          </w:p>
        </w:tc>
        <w:tc>
          <w:tcPr>
            <w:tcW w:w="170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政治理论学习</w:t>
            </w:r>
          </w:p>
        </w:tc>
        <w:tc>
          <w:tcPr>
            <w:tcW w:w="7087" w:type="dxa"/>
            <w:vAlign w:val="center"/>
          </w:tcPr>
          <w:p>
            <w:pPr>
              <w:widowControl/>
              <w:rPr>
                <w:rFonts w:ascii="仿宋_GB2312" w:eastAsia="仿宋_GB2312"/>
                <w:sz w:val="21"/>
                <w:szCs w:val="21"/>
              </w:rPr>
            </w:pPr>
            <w:r>
              <w:rPr>
                <w:rFonts w:hint="eastAsia" w:ascii="仿宋_GB2312" w:eastAsia="仿宋_GB2312"/>
                <w:sz w:val="21"/>
                <w:szCs w:val="21"/>
              </w:rPr>
              <w:t>深入学习贯彻习近平新时代中国特色社会主义思想和党的十九届五中全会精神，树牢“四个意识”，坚定“四个自信”，做到“两个维护”。落实理论学习中心组等学习制度，有计划有总结，档案资料齐全。</w:t>
            </w:r>
          </w:p>
        </w:tc>
        <w:tc>
          <w:tcPr>
            <w:tcW w:w="1980" w:type="dxa"/>
            <w:vMerge w:val="restart"/>
            <w:vAlign w:val="center"/>
          </w:tcPr>
          <w:p>
            <w:pPr>
              <w:adjustRightInd w:val="0"/>
              <w:snapToGrid w:val="0"/>
              <w:spacing w:line="280" w:lineRule="exact"/>
              <w:jc w:val="both"/>
              <w:rPr>
                <w:rFonts w:ascii="仿宋_GB2312" w:eastAsia="仿宋_GB2312"/>
                <w:sz w:val="24"/>
              </w:rPr>
            </w:pPr>
            <w:r>
              <w:rPr>
                <w:rFonts w:hint="eastAsia" w:ascii="仿宋_GB2312" w:eastAsia="仿宋_GB2312"/>
                <w:sz w:val="24"/>
              </w:rPr>
              <w:t>落实到位、措施得力、成效明显的，为“好”；落实比较到位、措施比较得力、成效比较明显的，为“较好”；落实</w:t>
            </w:r>
            <w:r>
              <w:rPr>
                <w:rFonts w:hint="eastAsia" w:ascii="仿宋_GB2312" w:eastAsia="仿宋_GB2312"/>
                <w:sz w:val="24"/>
                <w:lang w:val="en-US" w:eastAsia="zh-CN"/>
              </w:rPr>
              <w:t>不到</w:t>
            </w:r>
            <w:r>
              <w:rPr>
                <w:rFonts w:hint="eastAsia" w:ascii="仿宋_GB2312" w:eastAsia="仿宋_GB2312"/>
                <w:sz w:val="24"/>
              </w:rPr>
              <w:t>位、措施</w:t>
            </w:r>
            <w:r>
              <w:rPr>
                <w:rFonts w:hint="eastAsia" w:ascii="仿宋_GB2312" w:eastAsia="仿宋_GB2312"/>
                <w:sz w:val="24"/>
                <w:lang w:val="en-US" w:eastAsia="zh-CN"/>
              </w:rPr>
              <w:t>不</w:t>
            </w:r>
            <w:r>
              <w:rPr>
                <w:rFonts w:hint="eastAsia" w:ascii="仿宋_GB2312" w:eastAsia="仿宋_GB2312"/>
                <w:sz w:val="24"/>
              </w:rPr>
              <w:t>得力、成效</w:t>
            </w:r>
            <w:r>
              <w:rPr>
                <w:rFonts w:hint="eastAsia" w:ascii="仿宋_GB2312" w:eastAsia="仿宋_GB2312"/>
                <w:sz w:val="24"/>
                <w:lang w:val="en-US" w:eastAsia="zh-CN"/>
              </w:rPr>
              <w:t>不</w:t>
            </w:r>
            <w:r>
              <w:rPr>
                <w:rFonts w:hint="eastAsia" w:ascii="仿宋_GB2312" w:eastAsia="仿宋_GB2312"/>
                <w:sz w:val="24"/>
              </w:rPr>
              <w:t>明显的，为“</w:t>
            </w:r>
            <w:r>
              <w:rPr>
                <w:rFonts w:hint="eastAsia" w:ascii="仿宋_GB2312" w:eastAsia="仿宋_GB2312"/>
                <w:sz w:val="24"/>
                <w:lang w:val="en-US" w:eastAsia="zh-CN"/>
              </w:rPr>
              <w:t>差</w:t>
            </w:r>
            <w:r>
              <w:rPr>
                <w:rFonts w:hint="eastAsia" w:ascii="仿宋_GB2312" w:eastAsia="仿宋_GB2312"/>
                <w:sz w:val="24"/>
              </w:rPr>
              <w:t>”。</w:t>
            </w:r>
          </w:p>
        </w:tc>
        <w:tc>
          <w:tcPr>
            <w:tcW w:w="1758" w:type="dxa"/>
            <w:vAlign w:val="center"/>
          </w:tcPr>
          <w:p>
            <w:pPr>
              <w:jc w:val="center"/>
              <w:rPr>
                <w:sz w:val="24"/>
                <w:szCs w:val="24"/>
              </w:rPr>
            </w:pPr>
            <w:r>
              <w:rPr>
                <w:rFonts w:hint="eastAsia"/>
                <w:sz w:val="24"/>
                <w:szCs w:val="24"/>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414" w:type="dxa"/>
            <w:vMerge w:val="continue"/>
            <w:vAlign w:val="center"/>
          </w:tcPr>
          <w:p>
            <w:pPr>
              <w:jc w:val="center"/>
              <w:rPr>
                <w:rFonts w:hint="eastAsia" w:asciiTheme="minorEastAsia" w:hAnsiTheme="minorEastAsia" w:eastAsiaTheme="minorEastAsia" w:cstheme="minorEastAsia"/>
                <w:sz w:val="24"/>
              </w:rPr>
            </w:pPr>
          </w:p>
        </w:tc>
        <w:tc>
          <w:tcPr>
            <w:tcW w:w="170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意识形态工作</w:t>
            </w:r>
          </w:p>
        </w:tc>
        <w:tc>
          <w:tcPr>
            <w:tcW w:w="7087" w:type="dxa"/>
            <w:vAlign w:val="center"/>
          </w:tcPr>
          <w:p>
            <w:pPr>
              <w:pStyle w:val="2"/>
              <w:rPr>
                <w:rFonts w:ascii="仿宋_GB2312" w:eastAsia="仿宋_GB2312"/>
                <w:sz w:val="21"/>
                <w:szCs w:val="21"/>
              </w:rPr>
            </w:pPr>
            <w:r>
              <w:rPr>
                <w:rFonts w:hint="eastAsia" w:ascii="仿宋_GB2312" w:eastAsia="仿宋_GB2312"/>
                <w:sz w:val="21"/>
                <w:szCs w:val="21"/>
              </w:rPr>
              <w:t>落实意识形态工作责任制，每学期至少召开一次意识形态工作专题研究会议。加强各类思想文化阵地建设和管理，严格重大问题政治把关。开展宗教信仰排查，抵御境外利用宗教渗透，加强防范校园传教信息员队伍建设。</w:t>
            </w:r>
          </w:p>
        </w:tc>
        <w:tc>
          <w:tcPr>
            <w:tcW w:w="1980" w:type="dxa"/>
            <w:vMerge w:val="continue"/>
            <w:vAlign w:val="center"/>
          </w:tcPr>
          <w:p>
            <w:pPr>
              <w:adjustRightInd w:val="0"/>
              <w:snapToGrid w:val="0"/>
              <w:spacing w:line="280" w:lineRule="exact"/>
              <w:jc w:val="center"/>
              <w:rPr>
                <w:sz w:val="24"/>
              </w:rPr>
            </w:pPr>
          </w:p>
        </w:tc>
        <w:tc>
          <w:tcPr>
            <w:tcW w:w="1758" w:type="dxa"/>
            <w:vAlign w:val="center"/>
          </w:tcPr>
          <w:p>
            <w:pPr>
              <w:jc w:val="center"/>
              <w:rPr>
                <w:sz w:val="24"/>
                <w:szCs w:val="24"/>
              </w:rPr>
            </w:pPr>
            <w:r>
              <w:rPr>
                <w:rFonts w:hint="eastAsia"/>
                <w:sz w:val="24"/>
                <w:szCs w:val="24"/>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414" w:type="dxa"/>
            <w:vMerge w:val="continue"/>
            <w:vAlign w:val="center"/>
          </w:tcPr>
          <w:p>
            <w:pPr>
              <w:jc w:val="center"/>
              <w:rPr>
                <w:rFonts w:hint="eastAsia" w:asciiTheme="minorEastAsia" w:hAnsiTheme="minorEastAsia" w:eastAsiaTheme="minorEastAsia" w:cstheme="minorEastAsia"/>
                <w:sz w:val="24"/>
              </w:rPr>
            </w:pPr>
          </w:p>
        </w:tc>
        <w:tc>
          <w:tcPr>
            <w:tcW w:w="1700" w:type="dxa"/>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宣传文明建设</w:t>
            </w:r>
          </w:p>
        </w:tc>
        <w:tc>
          <w:tcPr>
            <w:tcW w:w="7087" w:type="dxa"/>
            <w:vAlign w:val="center"/>
          </w:tcPr>
          <w:p>
            <w:pPr>
              <w:pStyle w:val="2"/>
              <w:jc w:val="left"/>
              <w:rPr>
                <w:rFonts w:ascii="仿宋_GB2312" w:eastAsia="仿宋_GB2312"/>
                <w:sz w:val="21"/>
                <w:szCs w:val="21"/>
              </w:rPr>
            </w:pPr>
            <w:r>
              <w:rPr>
                <w:rFonts w:hint="eastAsia" w:ascii="仿宋_GB2312" w:eastAsia="仿宋_GB2312"/>
                <w:sz w:val="21"/>
                <w:szCs w:val="21"/>
              </w:rPr>
              <w:t>注重部门新闻宣传工作，加强网页建设及动态管理，及时宣传报道本部门品牌特色活动。积极参加文明校园建设，不断推进“一系一品”文化项目建设，形成文化特色。认真完成“学习强国”学习任务。</w:t>
            </w:r>
          </w:p>
        </w:tc>
        <w:tc>
          <w:tcPr>
            <w:tcW w:w="1980" w:type="dxa"/>
            <w:vMerge w:val="continue"/>
            <w:vAlign w:val="center"/>
          </w:tcPr>
          <w:p>
            <w:pPr>
              <w:adjustRightInd w:val="0"/>
              <w:snapToGrid w:val="0"/>
              <w:spacing w:line="280" w:lineRule="exact"/>
              <w:jc w:val="center"/>
              <w:rPr>
                <w:sz w:val="24"/>
              </w:rPr>
            </w:pPr>
          </w:p>
        </w:tc>
        <w:tc>
          <w:tcPr>
            <w:tcW w:w="1758" w:type="dxa"/>
            <w:vAlign w:val="center"/>
          </w:tcPr>
          <w:p>
            <w:pPr>
              <w:jc w:val="center"/>
              <w:rPr>
                <w:sz w:val="24"/>
                <w:szCs w:val="24"/>
              </w:rPr>
            </w:pPr>
            <w:r>
              <w:rPr>
                <w:rFonts w:hint="eastAsia"/>
                <w:sz w:val="24"/>
                <w:szCs w:val="24"/>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414" w:type="dxa"/>
            <w:vMerge w:val="restart"/>
            <w:vAlign w:val="center"/>
          </w:tcPr>
          <w:p>
            <w:pPr>
              <w:jc w:val="center"/>
              <w:rPr>
                <w:rFonts w:hint="eastAsia"/>
              </w:rPr>
            </w:pP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基层组织建设</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基层组织建设</w:t>
            </w:r>
          </w:p>
          <w:p>
            <w:pPr>
              <w:rPr>
                <w:rFonts w:hint="eastAsia"/>
              </w:rPr>
            </w:pPr>
          </w:p>
        </w:tc>
        <w:tc>
          <w:tcPr>
            <w:tcW w:w="170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履行主体责任</w:t>
            </w:r>
          </w:p>
        </w:tc>
        <w:tc>
          <w:tcPr>
            <w:tcW w:w="7087" w:type="dxa"/>
            <w:vAlign w:val="center"/>
          </w:tcPr>
          <w:p>
            <w:pPr>
              <w:pStyle w:val="2"/>
              <w:jc w:val="left"/>
              <w:rPr>
                <w:rFonts w:ascii="仿宋_GB2312" w:eastAsia="仿宋_GB2312"/>
                <w:sz w:val="21"/>
                <w:szCs w:val="21"/>
              </w:rPr>
            </w:pPr>
            <w:r>
              <w:rPr>
                <w:rFonts w:hint="eastAsia" w:ascii="仿宋_GB2312" w:eastAsia="仿宋_GB2312"/>
                <w:sz w:val="21"/>
                <w:szCs w:val="21"/>
              </w:rPr>
              <w:t>履行全面从严治党和党组织书记抓基层党建工作主体责任，贯彻落实学院党委的各项安排部署，落实“三重一大”集体决策制度，每月召开一次党政联席会议。党政主要负责同志每学期至少为学生讲一次思政课、为党员讲两次党课。</w:t>
            </w:r>
            <w:r>
              <w:rPr>
                <w:rFonts w:ascii="仿宋_GB2312" w:eastAsia="仿宋_GB2312"/>
                <w:sz w:val="21"/>
                <w:szCs w:val="21"/>
              </w:rPr>
              <w:t xml:space="preserve"> </w:t>
            </w:r>
          </w:p>
        </w:tc>
        <w:tc>
          <w:tcPr>
            <w:tcW w:w="1980" w:type="dxa"/>
            <w:vMerge w:val="continue"/>
            <w:vAlign w:val="center"/>
          </w:tcPr>
          <w:p>
            <w:pPr>
              <w:adjustRightInd w:val="0"/>
              <w:snapToGrid w:val="0"/>
              <w:spacing w:line="280" w:lineRule="exact"/>
              <w:jc w:val="center"/>
              <w:rPr>
                <w:sz w:val="24"/>
              </w:rPr>
            </w:pPr>
          </w:p>
        </w:tc>
        <w:tc>
          <w:tcPr>
            <w:tcW w:w="1758" w:type="dxa"/>
            <w:vMerge w:val="restart"/>
            <w:vAlign w:val="center"/>
          </w:tcPr>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r>
              <w:rPr>
                <w:rFonts w:hint="eastAsia"/>
                <w:sz w:val="24"/>
                <w:szCs w:val="24"/>
              </w:rPr>
              <w:t>组织部</w:t>
            </w:r>
          </w:p>
          <w:p>
            <w:pPr>
              <w:jc w:val="center"/>
              <w:rPr>
                <w:rFonts w:hint="eastAsia"/>
                <w:sz w:val="24"/>
                <w:szCs w:val="24"/>
              </w:rPr>
            </w:pPr>
          </w:p>
          <w:p>
            <w:pPr>
              <w:rPr>
                <w:rFonts w:hint="eastAsia"/>
                <w:sz w:val="24"/>
                <w:szCs w:val="24"/>
              </w:rPr>
            </w:pPr>
          </w:p>
          <w:p>
            <w:pPr>
              <w:pStyle w:val="2"/>
              <w:rPr>
                <w:rFonts w:hint="eastAsia"/>
                <w:sz w:val="24"/>
                <w:szCs w:val="24"/>
              </w:rPr>
            </w:pPr>
          </w:p>
          <w:p>
            <w:pPr>
              <w:rPr>
                <w:rFonts w:hint="eastAsia"/>
                <w:sz w:val="24"/>
                <w:szCs w:val="24"/>
              </w:rPr>
            </w:pPr>
          </w:p>
          <w:p>
            <w:pPr>
              <w:pStyle w:val="2"/>
              <w:rPr>
                <w:rFonts w:hint="eastAsia"/>
                <w:sz w:val="24"/>
                <w:szCs w:val="24"/>
              </w:rPr>
            </w:pPr>
          </w:p>
          <w:p>
            <w:pPr>
              <w:jc w:val="center"/>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组织部</w:t>
            </w:r>
          </w:p>
          <w:p>
            <w:pPr>
              <w:pStyle w:val="2"/>
              <w:rPr>
                <w:rFonts w:hint="eastAsia"/>
                <w:sz w:val="24"/>
                <w:szCs w:val="24"/>
              </w:rPr>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414" w:type="dxa"/>
            <w:vMerge w:val="continue"/>
            <w:tcBorders>
              <w:bottom w:val="single" w:color="auto" w:sz="4" w:space="0"/>
            </w:tcBorders>
            <w:vAlign w:val="center"/>
          </w:tcPr>
          <w:p>
            <w:pPr>
              <w:jc w:val="center"/>
              <w:rPr>
                <w:rFonts w:hint="eastAsia" w:asciiTheme="minorEastAsia" w:hAnsiTheme="minorEastAsia" w:eastAsiaTheme="minorEastAsia" w:cstheme="minorEastAsia"/>
                <w:sz w:val="24"/>
              </w:rPr>
            </w:pPr>
          </w:p>
        </w:tc>
        <w:tc>
          <w:tcPr>
            <w:tcW w:w="1700" w:type="dxa"/>
            <w:tcBorders>
              <w:bottom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基层组织建设</w:t>
            </w:r>
          </w:p>
        </w:tc>
        <w:tc>
          <w:tcPr>
            <w:tcW w:w="7087" w:type="dxa"/>
            <w:tcBorders>
              <w:bottom w:val="single" w:color="auto" w:sz="4" w:space="0"/>
            </w:tcBorders>
            <w:vAlign w:val="center"/>
          </w:tcPr>
          <w:p>
            <w:pPr>
              <w:pStyle w:val="2"/>
              <w:jc w:val="left"/>
              <w:rPr>
                <w:rFonts w:ascii="仿宋_GB2312" w:eastAsia="仿宋_GB2312"/>
                <w:sz w:val="21"/>
                <w:szCs w:val="21"/>
              </w:rPr>
            </w:pPr>
            <w:r>
              <w:rPr>
                <w:rFonts w:hint="eastAsia" w:ascii="仿宋_GB2312" w:eastAsia="仿宋_GB2312"/>
                <w:sz w:val="21"/>
                <w:szCs w:val="21"/>
              </w:rPr>
              <w:t>贯彻落实《中国共产党支部工作条例（试行）》，系统推进党支部标准化、规范化建设。认真落实“三会一课”、主题党日、组织生活会、党费收缴、谈心谈话等制度，重视和加强党员活动阵地和山东Ｅ支部建设。</w:t>
            </w:r>
            <w:r>
              <w:rPr>
                <w:rFonts w:ascii="仿宋_GB2312" w:eastAsia="仿宋_GB2312"/>
                <w:sz w:val="21"/>
                <w:szCs w:val="21"/>
              </w:rPr>
              <w:t xml:space="preserve"> </w:t>
            </w:r>
          </w:p>
        </w:tc>
        <w:tc>
          <w:tcPr>
            <w:tcW w:w="1980" w:type="dxa"/>
            <w:vMerge w:val="restart"/>
            <w:vAlign w:val="center"/>
          </w:tcPr>
          <w:p>
            <w:pPr>
              <w:adjustRightInd w:val="0"/>
              <w:snapToGrid w:val="0"/>
              <w:spacing w:line="280" w:lineRule="exact"/>
              <w:jc w:val="both"/>
              <w:rPr>
                <w:rFonts w:hint="eastAsia" w:ascii="仿宋_GB2312" w:eastAsia="仿宋_GB2312"/>
                <w:sz w:val="24"/>
              </w:rPr>
            </w:pPr>
          </w:p>
          <w:p>
            <w:pPr>
              <w:adjustRightInd w:val="0"/>
              <w:snapToGrid w:val="0"/>
              <w:spacing w:line="280" w:lineRule="exact"/>
              <w:jc w:val="both"/>
              <w:rPr>
                <w:rFonts w:hint="eastAsia" w:ascii="仿宋_GB2312" w:eastAsia="仿宋_GB2312"/>
                <w:sz w:val="24"/>
              </w:rPr>
            </w:pPr>
          </w:p>
          <w:p>
            <w:pPr>
              <w:adjustRightInd w:val="0"/>
              <w:snapToGrid w:val="0"/>
              <w:spacing w:line="280" w:lineRule="exact"/>
              <w:jc w:val="both"/>
              <w:rPr>
                <w:rFonts w:hint="eastAsia" w:ascii="仿宋_GB2312" w:eastAsia="仿宋_GB2312"/>
                <w:sz w:val="24"/>
              </w:rPr>
            </w:pPr>
          </w:p>
          <w:p>
            <w:pPr>
              <w:adjustRightInd w:val="0"/>
              <w:snapToGrid w:val="0"/>
              <w:spacing w:line="280" w:lineRule="exact"/>
              <w:jc w:val="both"/>
              <w:rPr>
                <w:rFonts w:hint="eastAsia" w:ascii="仿宋_GB2312" w:eastAsia="仿宋_GB2312"/>
                <w:sz w:val="24"/>
              </w:rPr>
            </w:pPr>
          </w:p>
          <w:p>
            <w:pPr>
              <w:adjustRightInd w:val="0"/>
              <w:snapToGrid w:val="0"/>
              <w:spacing w:line="280" w:lineRule="exact"/>
              <w:jc w:val="both"/>
              <w:rPr>
                <w:rFonts w:hint="eastAsia" w:ascii="仿宋_GB2312" w:eastAsia="仿宋_GB2312"/>
                <w:sz w:val="24"/>
              </w:rPr>
            </w:pPr>
          </w:p>
          <w:p>
            <w:pPr>
              <w:adjustRightInd w:val="0"/>
              <w:snapToGrid w:val="0"/>
              <w:spacing w:line="280" w:lineRule="exact"/>
              <w:jc w:val="both"/>
              <w:rPr>
                <w:rFonts w:hint="eastAsia" w:ascii="仿宋_GB2312" w:eastAsia="仿宋_GB2312"/>
                <w:sz w:val="24"/>
              </w:rPr>
            </w:pPr>
          </w:p>
          <w:p>
            <w:pPr>
              <w:adjustRightInd w:val="0"/>
              <w:snapToGrid w:val="0"/>
              <w:spacing w:line="280" w:lineRule="exact"/>
              <w:jc w:val="both"/>
              <w:rPr>
                <w:rFonts w:hint="eastAsia" w:ascii="仿宋_GB2312" w:eastAsia="仿宋_GB2312"/>
                <w:sz w:val="24"/>
              </w:rPr>
            </w:pPr>
          </w:p>
          <w:p>
            <w:pPr>
              <w:adjustRightInd w:val="0"/>
              <w:snapToGrid w:val="0"/>
              <w:spacing w:line="280" w:lineRule="exact"/>
              <w:jc w:val="both"/>
              <w:rPr>
                <w:rFonts w:hint="eastAsia" w:ascii="仿宋_GB2312" w:eastAsia="仿宋_GB2312"/>
                <w:sz w:val="24"/>
              </w:rPr>
            </w:pPr>
          </w:p>
          <w:p>
            <w:pPr>
              <w:pStyle w:val="2"/>
              <w:rPr>
                <w:rFonts w:hint="eastAsia"/>
              </w:rPr>
            </w:pPr>
          </w:p>
          <w:p>
            <w:pPr>
              <w:adjustRightInd w:val="0"/>
              <w:snapToGrid w:val="0"/>
              <w:spacing w:line="280" w:lineRule="exact"/>
              <w:jc w:val="both"/>
              <w:rPr>
                <w:sz w:val="24"/>
              </w:rPr>
            </w:pPr>
            <w:r>
              <w:rPr>
                <w:rFonts w:hint="eastAsia" w:ascii="仿宋_GB2312" w:eastAsia="仿宋_GB2312"/>
                <w:sz w:val="24"/>
              </w:rPr>
              <w:t>落实到位、措施得力、成效明显的，为“好”；落实比较到位、措施比较得力、成效比较明显的，为“较好”；落实</w:t>
            </w:r>
            <w:r>
              <w:rPr>
                <w:rFonts w:hint="eastAsia" w:ascii="仿宋_GB2312" w:eastAsia="仿宋_GB2312"/>
                <w:sz w:val="24"/>
                <w:lang w:val="en-US" w:eastAsia="zh-CN"/>
              </w:rPr>
              <w:t>不到</w:t>
            </w:r>
            <w:r>
              <w:rPr>
                <w:rFonts w:hint="eastAsia" w:ascii="仿宋_GB2312" w:eastAsia="仿宋_GB2312"/>
                <w:sz w:val="24"/>
              </w:rPr>
              <w:t>位、措施</w:t>
            </w:r>
            <w:r>
              <w:rPr>
                <w:rFonts w:hint="eastAsia" w:ascii="仿宋_GB2312" w:eastAsia="仿宋_GB2312"/>
                <w:sz w:val="24"/>
                <w:lang w:val="en-US" w:eastAsia="zh-CN"/>
              </w:rPr>
              <w:t>不</w:t>
            </w:r>
            <w:r>
              <w:rPr>
                <w:rFonts w:hint="eastAsia" w:ascii="仿宋_GB2312" w:eastAsia="仿宋_GB2312"/>
                <w:sz w:val="24"/>
              </w:rPr>
              <w:t>得力、成效</w:t>
            </w:r>
            <w:r>
              <w:rPr>
                <w:rFonts w:hint="eastAsia" w:ascii="仿宋_GB2312" w:eastAsia="仿宋_GB2312"/>
                <w:sz w:val="24"/>
                <w:lang w:val="en-US" w:eastAsia="zh-CN"/>
              </w:rPr>
              <w:t>不</w:t>
            </w:r>
            <w:r>
              <w:rPr>
                <w:rFonts w:hint="eastAsia" w:ascii="仿宋_GB2312" w:eastAsia="仿宋_GB2312"/>
                <w:sz w:val="24"/>
              </w:rPr>
              <w:t>明显的，为“</w:t>
            </w:r>
            <w:r>
              <w:rPr>
                <w:rFonts w:hint="eastAsia" w:ascii="仿宋_GB2312" w:eastAsia="仿宋_GB2312"/>
                <w:sz w:val="24"/>
                <w:lang w:val="en-US" w:eastAsia="zh-CN"/>
              </w:rPr>
              <w:t>差</w:t>
            </w:r>
            <w:r>
              <w:rPr>
                <w:rFonts w:hint="eastAsia" w:ascii="仿宋_GB2312" w:eastAsia="仿宋_GB2312"/>
                <w:sz w:val="24"/>
              </w:rPr>
              <w:t>”。</w:t>
            </w:r>
          </w:p>
        </w:tc>
        <w:tc>
          <w:tcPr>
            <w:tcW w:w="1758" w:type="dxa"/>
            <w:vMerge w:val="continue"/>
            <w:tcBorders>
              <w:bottom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414" w:type="dxa"/>
            <w:vMerge w:val="continue"/>
            <w:vAlign w:val="center"/>
          </w:tcPr>
          <w:p>
            <w:pPr>
              <w:jc w:val="center"/>
              <w:rPr>
                <w:rFonts w:hint="eastAsia" w:asciiTheme="minorEastAsia" w:hAnsiTheme="minorEastAsia" w:eastAsiaTheme="minorEastAsia" w:cstheme="minorEastAsia"/>
                <w:sz w:val="24"/>
              </w:rPr>
            </w:pPr>
          </w:p>
        </w:tc>
        <w:tc>
          <w:tcPr>
            <w:tcW w:w="170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加强教育监督</w:t>
            </w:r>
          </w:p>
        </w:tc>
        <w:tc>
          <w:tcPr>
            <w:tcW w:w="7087" w:type="dxa"/>
            <w:vAlign w:val="center"/>
          </w:tcPr>
          <w:p>
            <w:pPr>
              <w:pStyle w:val="2"/>
              <w:jc w:val="left"/>
              <w:rPr>
                <w:rFonts w:ascii="仿宋_GB2312" w:eastAsia="仿宋_GB2312"/>
                <w:sz w:val="21"/>
                <w:szCs w:val="21"/>
              </w:rPr>
            </w:pPr>
            <w:r>
              <w:rPr>
                <w:rFonts w:hint="eastAsia" w:ascii="仿宋_GB2312" w:eastAsia="仿宋_GB2312"/>
                <w:sz w:val="21"/>
                <w:szCs w:val="21"/>
              </w:rPr>
              <w:t>规范党员发展程序，不断壮大党员队伍；积极开展各类党建主题教育活动，加强党员队伍教育管理和监督。实施支部书记“双带头人”培育工程，充分发挥党员在教学科研管理服务中的先锋模范作用，取得明显成效。</w:t>
            </w:r>
          </w:p>
        </w:tc>
        <w:tc>
          <w:tcPr>
            <w:tcW w:w="1980" w:type="dxa"/>
            <w:vMerge w:val="continue"/>
            <w:vAlign w:val="center"/>
          </w:tcPr>
          <w:p>
            <w:pPr>
              <w:adjustRightInd w:val="0"/>
              <w:snapToGrid w:val="0"/>
              <w:spacing w:line="280" w:lineRule="exact"/>
              <w:jc w:val="center"/>
              <w:rPr>
                <w:rFonts w:ascii="仿宋_GB2312" w:eastAsia="仿宋_GB2312"/>
                <w:sz w:val="24"/>
              </w:rPr>
            </w:pPr>
          </w:p>
        </w:tc>
        <w:tc>
          <w:tcPr>
            <w:tcW w:w="1758"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1414"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纪律作风建设</w:t>
            </w:r>
          </w:p>
        </w:tc>
        <w:tc>
          <w:tcPr>
            <w:tcW w:w="170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执行八项规定</w:t>
            </w:r>
          </w:p>
        </w:tc>
        <w:tc>
          <w:tcPr>
            <w:tcW w:w="7087" w:type="dxa"/>
            <w:vAlign w:val="center"/>
          </w:tcPr>
          <w:p>
            <w:pPr>
              <w:pStyle w:val="2"/>
              <w:jc w:val="left"/>
              <w:rPr>
                <w:rFonts w:ascii="仿宋_GB2312" w:eastAsia="仿宋_GB2312"/>
                <w:sz w:val="21"/>
                <w:szCs w:val="21"/>
              </w:rPr>
            </w:pPr>
            <w:r>
              <w:rPr>
                <w:rFonts w:hint="eastAsia" w:ascii="仿宋_GB2312" w:eastAsia="仿宋_GB2312"/>
                <w:sz w:val="21"/>
                <w:szCs w:val="21"/>
              </w:rPr>
              <w:t>落实中央八项规定及其实施细则精神，执行省委、两级市委有关文件规定。</w:t>
            </w:r>
            <w:r>
              <w:rPr>
                <w:rFonts w:hint="eastAsia" w:ascii="仿宋_GB2312" w:hAnsi="宋体" w:eastAsia="仿宋_GB2312" w:cs="宋体"/>
                <w:color w:val="000000"/>
                <w:sz w:val="21"/>
                <w:szCs w:val="21"/>
              </w:rPr>
              <w:t>执行办公用房、公车、考勤请销假制度等管理规定，办公环境整洁有序；</w:t>
            </w:r>
            <w:r>
              <w:rPr>
                <w:rFonts w:hint="eastAsia" w:ascii="仿宋_GB2312" w:eastAsia="仿宋_GB2312"/>
                <w:sz w:val="21"/>
                <w:szCs w:val="21"/>
              </w:rPr>
              <w:t>部门政治生态风清气正，无信访稳定事件发生，无责任事件、事故、案件发生。</w:t>
            </w:r>
          </w:p>
        </w:tc>
        <w:tc>
          <w:tcPr>
            <w:tcW w:w="1980" w:type="dxa"/>
            <w:vMerge w:val="continue"/>
            <w:vAlign w:val="center"/>
          </w:tcPr>
          <w:p>
            <w:pPr>
              <w:adjustRightInd w:val="0"/>
              <w:snapToGrid w:val="0"/>
              <w:spacing w:line="280" w:lineRule="exact"/>
              <w:jc w:val="center"/>
              <w:rPr>
                <w:sz w:val="24"/>
              </w:rPr>
            </w:pPr>
          </w:p>
        </w:tc>
        <w:tc>
          <w:tcPr>
            <w:tcW w:w="1758" w:type="dxa"/>
            <w:vAlign w:val="center"/>
          </w:tcPr>
          <w:p>
            <w:pPr>
              <w:jc w:val="center"/>
              <w:rPr>
                <w:sz w:val="24"/>
                <w:szCs w:val="24"/>
              </w:rPr>
            </w:pPr>
            <w:r>
              <w:rPr>
                <w:rFonts w:hint="eastAsia"/>
                <w:sz w:val="24"/>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414" w:type="dxa"/>
            <w:vMerge w:val="continue"/>
            <w:vAlign w:val="center"/>
          </w:tcPr>
          <w:p>
            <w:pPr>
              <w:jc w:val="center"/>
              <w:rPr>
                <w:rFonts w:hint="eastAsia" w:asciiTheme="minorEastAsia" w:hAnsiTheme="minorEastAsia" w:eastAsiaTheme="minorEastAsia" w:cstheme="minorEastAsia"/>
                <w:sz w:val="24"/>
              </w:rPr>
            </w:pPr>
          </w:p>
        </w:tc>
        <w:tc>
          <w:tcPr>
            <w:tcW w:w="1700"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落实党风廉</w:t>
            </w: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政建设责任制</w:t>
            </w:r>
          </w:p>
        </w:tc>
        <w:tc>
          <w:tcPr>
            <w:tcW w:w="7087" w:type="dxa"/>
            <w:vAlign w:val="center"/>
          </w:tcPr>
          <w:p>
            <w:pPr>
              <w:pStyle w:val="2"/>
              <w:jc w:val="left"/>
              <w:rPr>
                <w:rFonts w:ascii="仿宋_GB2312" w:eastAsia="仿宋_GB2312"/>
                <w:sz w:val="21"/>
                <w:szCs w:val="21"/>
              </w:rPr>
            </w:pPr>
            <w:r>
              <w:rPr>
                <w:rFonts w:hint="eastAsia" w:ascii="仿宋_GB2312" w:eastAsia="仿宋_GB2312"/>
                <w:sz w:val="21"/>
                <w:szCs w:val="21"/>
              </w:rPr>
              <w:t>全面落实党风廉政建设责任制，扎实做好廉政风险点防控工作，成效显著。持续整治“四风”，着力解决本单位作风建设中存在的突出问题，特别是整治形式主义、官僚主义新表现问题。</w:t>
            </w:r>
          </w:p>
        </w:tc>
        <w:tc>
          <w:tcPr>
            <w:tcW w:w="1980" w:type="dxa"/>
            <w:vMerge w:val="continue"/>
            <w:vAlign w:val="center"/>
          </w:tcPr>
          <w:p>
            <w:pPr>
              <w:adjustRightInd w:val="0"/>
              <w:snapToGrid w:val="0"/>
              <w:spacing w:line="280" w:lineRule="exact"/>
              <w:jc w:val="center"/>
              <w:rPr>
                <w:sz w:val="24"/>
              </w:rPr>
            </w:pPr>
          </w:p>
        </w:tc>
        <w:tc>
          <w:tcPr>
            <w:tcW w:w="1758" w:type="dxa"/>
            <w:vAlign w:val="center"/>
          </w:tcPr>
          <w:p>
            <w:pPr>
              <w:jc w:val="center"/>
              <w:rPr>
                <w:rFonts w:hint="default" w:eastAsia="宋体"/>
                <w:sz w:val="24"/>
                <w:szCs w:val="24"/>
                <w:lang w:val="en-US" w:eastAsia="zh-CN"/>
              </w:rPr>
            </w:pPr>
            <w:r>
              <w:rPr>
                <w:rFonts w:hint="eastAsia"/>
                <w:sz w:val="24"/>
                <w:szCs w:val="24"/>
              </w:rPr>
              <w:t>纪委办</w:t>
            </w:r>
            <w:r>
              <w:rPr>
                <w:rFonts w:hint="eastAsia"/>
                <w:sz w:val="24"/>
                <w:szCs w:val="24"/>
                <w:lang w:val="en-US" w:eastAsia="zh-CN"/>
              </w:rPr>
              <w:t>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414" w:type="dxa"/>
            <w:vMerge w:val="continue"/>
            <w:vAlign w:val="center"/>
          </w:tcPr>
          <w:p>
            <w:pPr>
              <w:jc w:val="center"/>
              <w:rPr>
                <w:rFonts w:hint="eastAsia" w:asciiTheme="minorEastAsia" w:hAnsiTheme="minorEastAsia" w:eastAsiaTheme="minorEastAsia" w:cstheme="minorEastAsia"/>
                <w:sz w:val="24"/>
              </w:rPr>
            </w:pPr>
          </w:p>
        </w:tc>
        <w:tc>
          <w:tcPr>
            <w:tcW w:w="1700"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加强师德师风建设</w:t>
            </w:r>
          </w:p>
        </w:tc>
        <w:tc>
          <w:tcPr>
            <w:tcW w:w="7087" w:type="dxa"/>
            <w:vAlign w:val="center"/>
          </w:tcPr>
          <w:p>
            <w:pPr>
              <w:pStyle w:val="2"/>
              <w:jc w:val="left"/>
              <w:rPr>
                <w:rFonts w:ascii="仿宋_GB2312" w:eastAsia="仿宋_GB2312"/>
                <w:color w:val="auto"/>
                <w:sz w:val="21"/>
                <w:szCs w:val="21"/>
              </w:rPr>
            </w:pPr>
            <w:r>
              <w:rPr>
                <w:rFonts w:hint="eastAsia" w:ascii="仿宋_GB2312" w:eastAsia="仿宋_GB2312"/>
                <w:color w:val="auto"/>
                <w:sz w:val="21"/>
                <w:szCs w:val="21"/>
              </w:rPr>
              <w:t>加强师德师风建设，</w:t>
            </w:r>
            <w:r>
              <w:rPr>
                <w:rFonts w:hint="eastAsia" w:ascii="仿宋_GB2312" w:eastAsia="仿宋_GB2312"/>
                <w:color w:val="auto"/>
                <w:sz w:val="21"/>
                <w:szCs w:val="21"/>
                <w:lang w:eastAsia="zh-CN"/>
              </w:rPr>
              <w:t>教学部门</w:t>
            </w:r>
            <w:r>
              <w:rPr>
                <w:rFonts w:hint="eastAsia" w:ascii="仿宋_GB2312" w:eastAsia="仿宋_GB2312"/>
                <w:color w:val="auto"/>
                <w:sz w:val="21"/>
                <w:szCs w:val="21"/>
              </w:rPr>
              <w:t>人员为人师表、教书育人，无违反师德师风行为出现。分工会组织健全，重视自身建设和教职员工队伍建设，切实做好维权职能发挥与维护稳定工作。</w:t>
            </w:r>
          </w:p>
        </w:tc>
        <w:tc>
          <w:tcPr>
            <w:tcW w:w="1980" w:type="dxa"/>
            <w:vMerge w:val="continue"/>
            <w:vAlign w:val="center"/>
          </w:tcPr>
          <w:p>
            <w:pPr>
              <w:adjustRightInd w:val="0"/>
              <w:snapToGrid w:val="0"/>
              <w:spacing w:line="280" w:lineRule="exact"/>
              <w:jc w:val="center"/>
              <w:rPr>
                <w:sz w:val="24"/>
              </w:rPr>
            </w:pPr>
          </w:p>
        </w:tc>
        <w:tc>
          <w:tcPr>
            <w:tcW w:w="1758" w:type="dxa"/>
            <w:vAlign w:val="center"/>
          </w:tcPr>
          <w:p>
            <w:pPr>
              <w:jc w:val="center"/>
              <w:rPr>
                <w:sz w:val="24"/>
                <w:szCs w:val="24"/>
              </w:rPr>
            </w:pPr>
            <w:r>
              <w:rPr>
                <w:rFonts w:hint="eastAsia"/>
                <w:sz w:val="24"/>
                <w:szCs w:val="24"/>
              </w:rPr>
              <w:t>工会</w:t>
            </w:r>
          </w:p>
        </w:tc>
      </w:tr>
    </w:tbl>
    <w:p>
      <w:pPr>
        <w:ind w:firstLine="360" w:firstLineChars="150"/>
        <w:rPr>
          <w:rFonts w:ascii="黑体" w:hAnsi="黑体" w:eastAsia="黑体"/>
          <w:sz w:val="24"/>
        </w:rPr>
      </w:pPr>
    </w:p>
    <w:p>
      <w:pPr>
        <w:pStyle w:val="2"/>
        <w:rPr>
          <w:rFonts w:hint="eastAsia" w:ascii="黑体" w:hAnsi="黑体" w:eastAsia="黑体"/>
          <w:sz w:val="32"/>
          <w:szCs w:val="32"/>
        </w:rPr>
      </w:pPr>
    </w:p>
    <w:p>
      <w:pPr>
        <w:pStyle w:val="2"/>
        <w:rPr>
          <w:rFonts w:hint="eastAsia" w:ascii="黑体" w:hAnsi="黑体" w:eastAsia="黑体"/>
          <w:sz w:val="32"/>
          <w:szCs w:val="32"/>
        </w:rPr>
        <w:sectPr>
          <w:pgSz w:w="16838" w:h="11906" w:orient="landscape"/>
          <w:pgMar w:top="1077" w:right="1440" w:bottom="1077" w:left="144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sz w:val="32"/>
          <w:szCs w:val="32"/>
        </w:rPr>
      </w:pPr>
      <w:r>
        <w:rPr>
          <w:rFonts w:hint="eastAsia" w:ascii="黑体" w:hAnsi="黑体" w:eastAsia="黑体"/>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教学部门履行</w:t>
      </w:r>
      <w:r>
        <w:rPr>
          <w:rFonts w:hint="eastAsia" w:ascii="方正小标宋简体" w:eastAsia="方正小标宋简体"/>
          <w:sz w:val="44"/>
          <w:szCs w:val="44"/>
          <w:lang w:val="en-US" w:eastAsia="zh-CN"/>
        </w:rPr>
        <w:t>工作</w:t>
      </w:r>
      <w:r>
        <w:rPr>
          <w:rFonts w:hint="eastAsia" w:ascii="方正小标宋简体" w:eastAsia="方正小标宋简体"/>
          <w:sz w:val="44"/>
          <w:szCs w:val="44"/>
        </w:rPr>
        <w:t>职责考核指标</w:t>
      </w:r>
    </w:p>
    <w:p>
      <w:pPr>
        <w:pStyle w:val="2"/>
      </w:pPr>
    </w:p>
    <w:tbl>
      <w:tblPr>
        <w:tblStyle w:val="7"/>
        <w:tblW w:w="14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532"/>
        <w:gridCol w:w="1701"/>
        <w:gridCol w:w="7240"/>
        <w:gridCol w:w="2095"/>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68" w:hRule="atLeast"/>
          <w:tblHeader/>
          <w:jc w:val="center"/>
        </w:trPr>
        <w:tc>
          <w:tcPr>
            <w:tcW w:w="1532" w:type="dxa"/>
            <w:vAlign w:val="center"/>
          </w:tcPr>
          <w:p>
            <w:pPr>
              <w:adjustRightInd w:val="0"/>
              <w:snapToGrid w:val="0"/>
              <w:spacing w:line="300" w:lineRule="exact"/>
              <w:jc w:val="center"/>
              <w:rPr>
                <w:rFonts w:ascii="黑体" w:hAnsi="黑体" w:eastAsia="黑体"/>
                <w:color w:val="000000"/>
                <w:sz w:val="24"/>
              </w:rPr>
            </w:pPr>
            <w:r>
              <w:rPr>
                <w:rFonts w:hint="eastAsia" w:ascii="黑体" w:hAnsi="黑体" w:eastAsia="黑体" w:cs="黑体"/>
                <w:color w:val="000000"/>
                <w:kern w:val="0"/>
                <w:sz w:val="24"/>
              </w:rPr>
              <w:t>一级指标</w:t>
            </w:r>
          </w:p>
        </w:tc>
        <w:tc>
          <w:tcPr>
            <w:tcW w:w="1701" w:type="dxa"/>
            <w:vAlign w:val="center"/>
          </w:tcPr>
          <w:p>
            <w:pPr>
              <w:widowControl/>
              <w:adjustRightInd w:val="0"/>
              <w:snapToGrid w:val="0"/>
              <w:spacing w:line="280" w:lineRule="exact"/>
              <w:ind w:left="-53" w:leftChars="-25"/>
              <w:jc w:val="center"/>
              <w:rPr>
                <w:rFonts w:ascii="黑体" w:hAnsi="黑体" w:eastAsia="黑体" w:cs="宋体"/>
                <w:color w:val="000000"/>
                <w:sz w:val="24"/>
              </w:rPr>
            </w:pPr>
            <w:r>
              <w:rPr>
                <w:rFonts w:hint="eastAsia" w:ascii="黑体" w:hAnsi="黑体" w:eastAsia="黑体" w:cs="黑体"/>
                <w:color w:val="000000"/>
                <w:kern w:val="0"/>
                <w:sz w:val="24"/>
              </w:rPr>
              <w:t>二级指标</w:t>
            </w:r>
          </w:p>
        </w:tc>
        <w:tc>
          <w:tcPr>
            <w:tcW w:w="7240" w:type="dxa"/>
            <w:vAlign w:val="center"/>
          </w:tcPr>
          <w:p>
            <w:pPr>
              <w:widowControl/>
              <w:adjustRightInd w:val="0"/>
              <w:snapToGrid w:val="0"/>
              <w:spacing w:line="280" w:lineRule="exact"/>
              <w:ind w:left="-53" w:leftChars="-25"/>
              <w:jc w:val="center"/>
              <w:rPr>
                <w:rFonts w:ascii="黑体" w:hAnsi="黑体" w:eastAsia="黑体"/>
                <w:color w:val="000000"/>
                <w:kern w:val="0"/>
                <w:sz w:val="24"/>
              </w:rPr>
            </w:pPr>
            <w:r>
              <w:rPr>
                <w:rFonts w:hint="eastAsia" w:ascii="黑体" w:hAnsi="黑体" w:eastAsia="黑体"/>
                <w:color w:val="000000"/>
                <w:kern w:val="0"/>
                <w:sz w:val="24"/>
              </w:rPr>
              <w:t>考核要点</w:t>
            </w:r>
          </w:p>
        </w:tc>
        <w:tc>
          <w:tcPr>
            <w:tcW w:w="2095" w:type="dxa"/>
            <w:vAlign w:val="center"/>
          </w:tcPr>
          <w:p>
            <w:pPr>
              <w:widowControl/>
              <w:adjustRightInd w:val="0"/>
              <w:snapToGrid w:val="0"/>
              <w:spacing w:line="280" w:lineRule="exact"/>
              <w:jc w:val="center"/>
              <w:rPr>
                <w:rFonts w:ascii="黑体" w:hAnsi="黑体" w:eastAsia="黑体" w:cs="宋体"/>
                <w:color w:val="000000"/>
                <w:sz w:val="24"/>
              </w:rPr>
            </w:pPr>
            <w:r>
              <w:rPr>
                <w:rFonts w:hint="eastAsia" w:ascii="黑体" w:hAnsi="黑体" w:eastAsia="黑体" w:cs="宋体"/>
                <w:color w:val="000000"/>
                <w:sz w:val="24"/>
              </w:rPr>
              <w:t>考核评价标准</w:t>
            </w:r>
          </w:p>
        </w:tc>
        <w:tc>
          <w:tcPr>
            <w:tcW w:w="1442" w:type="dxa"/>
            <w:vAlign w:val="center"/>
          </w:tcPr>
          <w:p>
            <w:pPr>
              <w:widowControl/>
              <w:adjustRightInd w:val="0"/>
              <w:snapToGrid w:val="0"/>
              <w:spacing w:line="280" w:lineRule="exact"/>
              <w:jc w:val="center"/>
              <w:rPr>
                <w:rFonts w:ascii="黑体" w:hAnsi="黑体" w:eastAsia="黑体" w:cs="黑体"/>
                <w:color w:val="000000"/>
                <w:kern w:val="0"/>
                <w:sz w:val="24"/>
              </w:rPr>
            </w:pPr>
            <w:r>
              <w:rPr>
                <w:rFonts w:hint="eastAsia" w:ascii="黑体" w:hAnsi="黑体" w:eastAsia="黑体" w:cs="黑体"/>
                <w:color w:val="000000"/>
                <w:kern w:val="0"/>
                <w:sz w:val="24"/>
              </w:rPr>
              <w:t>考核责任</w:t>
            </w:r>
          </w:p>
          <w:p>
            <w:pPr>
              <w:widowControl/>
              <w:adjustRightInd w:val="0"/>
              <w:snapToGrid w:val="0"/>
              <w:spacing w:line="280" w:lineRule="exact"/>
              <w:jc w:val="center"/>
              <w:rPr>
                <w:rFonts w:ascii="黑体" w:hAnsi="黑体" w:eastAsia="黑体" w:cs="宋体"/>
                <w:b/>
                <w:bCs/>
                <w:color w:val="000000"/>
                <w:kern w:val="0"/>
                <w:sz w:val="24"/>
              </w:rPr>
            </w:pPr>
            <w:r>
              <w:rPr>
                <w:rFonts w:hint="eastAsia" w:ascii="黑体" w:hAnsi="黑体" w:eastAsia="黑体" w:cs="黑体"/>
                <w:color w:val="000000"/>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532" w:type="dxa"/>
            <w:vMerge w:val="restart"/>
            <w:vAlign w:val="center"/>
          </w:tcPr>
          <w:p>
            <w:pPr>
              <w:adjustRightInd w:val="0"/>
              <w:snapToGrid w:val="0"/>
              <w:spacing w:line="300" w:lineRule="exact"/>
              <w:jc w:val="center"/>
              <w:rPr>
                <w:rFonts w:hint="eastAsia" w:asciiTheme="minorEastAsia" w:hAnsiTheme="minorEastAsia" w:eastAsiaTheme="minorEastAsia" w:cstheme="minorEastAsia"/>
                <w:color w:val="000000"/>
                <w:sz w:val="24"/>
                <w:szCs w:val="24"/>
              </w:rPr>
            </w:pPr>
          </w:p>
          <w:p>
            <w:pPr>
              <w:adjustRightInd w:val="0"/>
              <w:snapToGrid w:val="0"/>
              <w:spacing w:line="300" w:lineRule="exact"/>
              <w:jc w:val="center"/>
              <w:rPr>
                <w:rFonts w:hint="eastAsia" w:asciiTheme="minorEastAsia" w:hAnsiTheme="minorEastAsia" w:eastAsiaTheme="minorEastAsia" w:cstheme="minorEastAsia"/>
                <w:color w:val="000000"/>
                <w:sz w:val="24"/>
                <w:szCs w:val="24"/>
              </w:rPr>
            </w:pPr>
          </w:p>
          <w:p>
            <w:pPr>
              <w:adjustRightInd w:val="0"/>
              <w:snapToGrid w:val="0"/>
              <w:spacing w:line="300" w:lineRule="exact"/>
              <w:jc w:val="center"/>
              <w:rPr>
                <w:rFonts w:hint="eastAsia" w:asciiTheme="minorEastAsia" w:hAnsiTheme="minorEastAsia" w:eastAsiaTheme="minorEastAsia" w:cstheme="minorEastAsia"/>
                <w:color w:val="000000"/>
                <w:sz w:val="24"/>
                <w:szCs w:val="24"/>
              </w:rPr>
            </w:pPr>
          </w:p>
          <w:p>
            <w:pPr>
              <w:adjustRightInd w:val="0"/>
              <w:snapToGrid w:val="0"/>
              <w:spacing w:line="300" w:lineRule="exact"/>
              <w:jc w:val="center"/>
              <w:rPr>
                <w:rFonts w:hint="eastAsia" w:asciiTheme="minorEastAsia" w:hAnsiTheme="minorEastAsia" w:eastAsiaTheme="minorEastAsia" w:cstheme="minorEastAsia"/>
                <w:color w:val="000000"/>
                <w:sz w:val="24"/>
                <w:szCs w:val="24"/>
              </w:rPr>
            </w:pPr>
          </w:p>
          <w:p>
            <w:pPr>
              <w:adjustRightInd w:val="0"/>
              <w:snapToGrid w:val="0"/>
              <w:spacing w:line="300" w:lineRule="exact"/>
              <w:jc w:val="center"/>
              <w:rPr>
                <w:rFonts w:hint="eastAsia" w:asciiTheme="minorEastAsia" w:hAnsiTheme="minorEastAsia" w:eastAsiaTheme="minorEastAsia" w:cstheme="minorEastAsia"/>
                <w:color w:val="000000"/>
                <w:sz w:val="24"/>
                <w:szCs w:val="24"/>
              </w:rPr>
            </w:pPr>
          </w:p>
          <w:p>
            <w:pPr>
              <w:adjustRightInd w:val="0"/>
              <w:snapToGrid w:val="0"/>
              <w:spacing w:line="300" w:lineRule="exact"/>
              <w:jc w:val="center"/>
              <w:rPr>
                <w:rFonts w:hint="eastAsia" w:asciiTheme="minorEastAsia" w:hAnsiTheme="minorEastAsia" w:eastAsiaTheme="minorEastAsia" w:cstheme="minorEastAsia"/>
                <w:color w:val="000000"/>
                <w:sz w:val="24"/>
                <w:szCs w:val="24"/>
              </w:rPr>
            </w:pPr>
          </w:p>
          <w:p>
            <w:pPr>
              <w:adjustRightInd w:val="0"/>
              <w:snapToGrid w:val="0"/>
              <w:spacing w:line="300" w:lineRule="exact"/>
              <w:jc w:val="center"/>
              <w:rPr>
                <w:rFonts w:hint="eastAsia" w:asciiTheme="minorEastAsia" w:hAnsiTheme="minorEastAsia" w:eastAsiaTheme="minorEastAsia" w:cstheme="minorEastAsia"/>
                <w:color w:val="000000"/>
                <w:sz w:val="24"/>
                <w:szCs w:val="24"/>
              </w:rPr>
            </w:pPr>
          </w:p>
          <w:p>
            <w:pPr>
              <w:adjustRightInd w:val="0"/>
              <w:snapToGrid w:val="0"/>
              <w:spacing w:line="300" w:lineRule="exact"/>
              <w:jc w:val="center"/>
              <w:rPr>
                <w:rFonts w:hint="eastAsia" w:asciiTheme="minorEastAsia" w:hAnsiTheme="minorEastAsia" w:eastAsiaTheme="minorEastAsia" w:cstheme="minorEastAsia"/>
                <w:color w:val="000000"/>
                <w:sz w:val="24"/>
                <w:szCs w:val="24"/>
              </w:rPr>
            </w:pPr>
          </w:p>
          <w:p>
            <w:pPr>
              <w:adjustRightInd w:val="0"/>
              <w:snapToGrid w:val="0"/>
              <w:spacing w:line="300" w:lineRule="exact"/>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1.教学工作（35分）</w:t>
            </w:r>
          </w:p>
        </w:tc>
        <w:tc>
          <w:tcPr>
            <w:tcW w:w="1701" w:type="dxa"/>
            <w:vAlign w:val="center"/>
          </w:tcPr>
          <w:p>
            <w:pPr>
              <w:widowControl/>
              <w:adjustRightInd w:val="0"/>
              <w:snapToGrid w:val="0"/>
              <w:spacing w:line="280" w:lineRule="exact"/>
              <w:ind w:left="-53" w:leftChars="-25"/>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专业建设</w:t>
            </w:r>
          </w:p>
          <w:p>
            <w:pPr>
              <w:widowControl/>
              <w:adjustRightInd w:val="0"/>
              <w:snapToGrid w:val="0"/>
              <w:spacing w:line="280" w:lineRule="exact"/>
              <w:ind w:left="-53" w:leftChars="-25"/>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（6分）</w:t>
            </w:r>
          </w:p>
        </w:tc>
        <w:tc>
          <w:tcPr>
            <w:tcW w:w="7240" w:type="dxa"/>
            <w:vAlign w:val="center"/>
          </w:tcPr>
          <w:p>
            <w:pPr>
              <w:widowControl/>
              <w:adjustRightInd w:val="0"/>
              <w:snapToGrid w:val="0"/>
              <w:spacing w:line="280" w:lineRule="exact"/>
              <w:ind w:left="-53" w:leftChars="-25"/>
              <w:rPr>
                <w:rFonts w:hint="eastAsia" w:ascii="仿宋_GB2312" w:hAnsi="宋体" w:eastAsia="仿宋_GB2312" w:cs="宋体"/>
                <w:color w:val="000000"/>
                <w:sz w:val="21"/>
                <w:szCs w:val="21"/>
                <w:lang w:val="en-US" w:eastAsia="zh-CN"/>
              </w:rPr>
            </w:pPr>
            <w:r>
              <w:rPr>
                <w:rFonts w:hint="eastAsia" w:eastAsia="仿宋_GB2312"/>
                <w:color w:val="000000"/>
                <w:kern w:val="0"/>
                <w:sz w:val="21"/>
                <w:szCs w:val="21"/>
              </w:rPr>
              <w:t>开设的每个专业均有专业人才培养方案和专业标准，且内容完整、规范，符合诊改要求；</w:t>
            </w:r>
            <w:r>
              <w:rPr>
                <w:rFonts w:hint="eastAsia" w:ascii="仿宋_GB2312" w:hAnsi="宋体" w:eastAsia="仿宋_GB2312" w:cs="宋体"/>
                <w:color w:val="000000"/>
                <w:sz w:val="21"/>
                <w:szCs w:val="21"/>
              </w:rPr>
              <w:t>专业（群）发展水平考核情况（含新上专业的申报）；“1+X”证书制度推进得力；齐鲁工匠后备人才有成效</w:t>
            </w:r>
            <w:r>
              <w:rPr>
                <w:rFonts w:hint="eastAsia" w:ascii="仿宋_GB2312" w:hAnsi="宋体" w:eastAsia="仿宋_GB2312" w:cs="宋体"/>
                <w:color w:val="000000"/>
                <w:sz w:val="21"/>
                <w:szCs w:val="21"/>
                <w:lang w:eastAsia="zh-CN"/>
              </w:rPr>
              <w:t>。</w:t>
            </w:r>
          </w:p>
        </w:tc>
        <w:tc>
          <w:tcPr>
            <w:tcW w:w="2095" w:type="dxa"/>
            <w:vMerge w:val="restart"/>
            <w:vAlign w:val="center"/>
          </w:tcPr>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adjustRightInd w:val="0"/>
              <w:snapToGrid w:val="0"/>
              <w:spacing w:line="280" w:lineRule="exact"/>
              <w:ind w:left="-53" w:leftChars="-25"/>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计算方法：加权得分。</w:t>
            </w: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adjustRightInd w:val="0"/>
              <w:snapToGrid w:val="0"/>
              <w:spacing w:line="280" w:lineRule="exact"/>
              <w:ind w:left="-53" w:leftChars="-25"/>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计算方法：加权得分。</w:t>
            </w: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eastAsia="仿宋_GB2312"/>
                <w:color w:val="000000"/>
                <w:kern w:val="0"/>
                <w:sz w:val="24"/>
                <w:szCs w:val="24"/>
              </w:rPr>
            </w:pPr>
          </w:p>
          <w:p>
            <w:pPr>
              <w:widowControl w:val="0"/>
              <w:jc w:val="both"/>
              <w:rPr>
                <w:rFonts w:hint="eastAsia" w:ascii="仿宋_GB2312" w:hAnsi="宋体" w:eastAsia="仿宋_GB2312"/>
                <w:color w:val="000000"/>
                <w:sz w:val="24"/>
                <w:szCs w:val="24"/>
              </w:rPr>
            </w:pPr>
            <w:r>
              <w:rPr>
                <w:rFonts w:hint="eastAsia" w:eastAsia="仿宋_GB2312"/>
                <w:color w:val="000000"/>
                <w:kern w:val="0"/>
                <w:sz w:val="24"/>
                <w:szCs w:val="24"/>
              </w:rPr>
              <w:t>根</w:t>
            </w:r>
            <w:r>
              <w:rPr>
                <w:rFonts w:hint="eastAsia" w:ascii="仿宋_GB2312" w:hAnsi="宋体" w:eastAsia="仿宋_GB2312"/>
                <w:color w:val="000000"/>
                <w:sz w:val="24"/>
                <w:szCs w:val="24"/>
              </w:rPr>
              <w:t>据优良中差，对各条指标分档赋分。</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优：</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100分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良：</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90分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中：</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75分</w:t>
            </w:r>
            <w:r>
              <w:rPr>
                <w:rFonts w:hint="eastAsia" w:ascii="仿宋_GB2312" w:hAnsi="宋体" w:eastAsia="仿宋_GB2312"/>
                <w:color w:val="000000"/>
                <w:sz w:val="24"/>
                <w:szCs w:val="24"/>
              </w:rPr>
              <w:t>；</w:t>
            </w:r>
          </w:p>
          <w:p>
            <w:pPr>
              <w:widowControl w:val="0"/>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差：0～</w:t>
            </w:r>
            <w:r>
              <w:rPr>
                <w:rFonts w:hint="eastAsia" w:ascii="仿宋_GB2312" w:hAnsi="宋体" w:eastAsia="仿宋_GB2312"/>
                <w:color w:val="000000"/>
                <w:sz w:val="24"/>
                <w:szCs w:val="24"/>
                <w:lang w:val="en-US" w:eastAsia="zh-CN"/>
              </w:rPr>
              <w:t>60分</w:t>
            </w:r>
            <w:r>
              <w:rPr>
                <w:rFonts w:hint="eastAsia" w:ascii="仿宋_GB2312" w:hAnsi="宋体" w:eastAsia="仿宋_GB2312"/>
                <w:color w:val="000000"/>
                <w:sz w:val="24"/>
                <w:szCs w:val="24"/>
              </w:rPr>
              <w:t>。</w:t>
            </w:r>
          </w:p>
          <w:p>
            <w:pPr>
              <w:widowControl/>
              <w:adjustRightInd w:val="0"/>
              <w:snapToGrid w:val="0"/>
              <w:spacing w:line="280" w:lineRule="exact"/>
              <w:ind w:left="-53" w:leftChars="-25"/>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计算方法：加权得分。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宋体" w:eastAsia="仿宋_GB2312"/>
                <w:color w:val="000000"/>
                <w:sz w:val="21"/>
                <w:szCs w:val="21"/>
                <w:lang w:val="en-US" w:eastAsia="zh-CN"/>
              </w:rPr>
            </w:pPr>
          </w:p>
        </w:tc>
        <w:tc>
          <w:tcPr>
            <w:tcW w:w="1442" w:type="dxa"/>
            <w:vMerge w:val="restart"/>
            <w:vAlign w:val="center"/>
          </w:tcPr>
          <w:p>
            <w:pPr>
              <w:widowControl/>
              <w:adjustRightInd w:val="0"/>
              <w:snapToGrid w:val="0"/>
              <w:spacing w:line="280" w:lineRule="exact"/>
              <w:jc w:val="center"/>
            </w:pPr>
          </w:p>
          <w:p>
            <w:pPr>
              <w:widowControl/>
              <w:adjustRightInd w:val="0"/>
              <w:snapToGrid w:val="0"/>
              <w:spacing w:line="280" w:lineRule="exact"/>
              <w:jc w:val="center"/>
            </w:pPr>
          </w:p>
          <w:p>
            <w:pPr>
              <w:widowControl/>
              <w:adjustRightInd w:val="0"/>
              <w:snapToGrid w:val="0"/>
              <w:spacing w:line="280" w:lineRule="exact"/>
              <w:jc w:val="center"/>
            </w:pPr>
          </w:p>
          <w:p>
            <w:pPr>
              <w:widowControl/>
              <w:adjustRightInd w:val="0"/>
              <w:snapToGrid w:val="0"/>
              <w:spacing w:line="280" w:lineRule="exact"/>
              <w:jc w:val="center"/>
            </w:pPr>
          </w:p>
          <w:p>
            <w:pPr>
              <w:widowControl/>
              <w:adjustRightInd w:val="0"/>
              <w:snapToGrid w:val="0"/>
              <w:spacing w:line="280" w:lineRule="exact"/>
              <w:jc w:val="center"/>
            </w:pPr>
          </w:p>
          <w:p>
            <w:pPr>
              <w:widowControl/>
              <w:adjustRightInd w:val="0"/>
              <w:snapToGrid w:val="0"/>
              <w:spacing w:line="280" w:lineRule="exact"/>
              <w:jc w:val="center"/>
            </w:pPr>
          </w:p>
          <w:p>
            <w:pPr>
              <w:widowControl/>
              <w:adjustRightInd w:val="0"/>
              <w:snapToGrid w:val="0"/>
              <w:spacing w:line="280" w:lineRule="exact"/>
              <w:jc w:val="center"/>
            </w:pPr>
          </w:p>
          <w:p>
            <w:pPr>
              <w:widowControl/>
              <w:adjustRightInd w:val="0"/>
              <w:snapToGrid w:val="0"/>
              <w:spacing w:line="280" w:lineRule="exact"/>
              <w:jc w:val="center"/>
            </w:pPr>
          </w:p>
          <w:p>
            <w:pPr>
              <w:widowControl/>
              <w:adjustRightInd w:val="0"/>
              <w:snapToGrid w:val="0"/>
              <w:spacing w:line="280" w:lineRule="exact"/>
              <w:jc w:val="center"/>
            </w:pPr>
          </w:p>
          <w:p>
            <w:pPr>
              <w:widowControl/>
              <w:adjustRightInd w:val="0"/>
              <w:snapToGrid w:val="0"/>
              <w:spacing w:line="280" w:lineRule="exact"/>
              <w:jc w:val="center"/>
            </w:pPr>
          </w:p>
          <w:p>
            <w:pPr>
              <w:widowControl/>
              <w:adjustRightInd w:val="0"/>
              <w:snapToGrid w:val="0"/>
              <w:spacing w:line="280" w:lineRule="exact"/>
              <w:jc w:val="center"/>
              <w:rPr>
                <w:sz w:val="24"/>
                <w:szCs w:val="24"/>
              </w:rPr>
            </w:pPr>
            <w:r>
              <w:rPr>
                <w:sz w:val="24"/>
                <w:szCs w:val="24"/>
              </w:rPr>
              <w:t>教务处</w:t>
            </w:r>
          </w:p>
          <w:p>
            <w:pPr>
              <w:pStyle w:val="2"/>
              <w:jc w:val="center"/>
            </w:pPr>
          </w:p>
          <w:p>
            <w:pPr>
              <w:jc w:val="center"/>
            </w:pPr>
          </w:p>
          <w:p>
            <w:pPr>
              <w:pStyle w:val="2"/>
              <w:jc w:val="center"/>
            </w:pPr>
          </w:p>
          <w:p>
            <w:pPr>
              <w:jc w:val="center"/>
            </w:pPr>
          </w:p>
          <w:p>
            <w:pPr>
              <w:pStyle w:val="2"/>
              <w:jc w:val="center"/>
            </w:pPr>
          </w:p>
          <w:p>
            <w:pPr>
              <w:jc w:val="center"/>
            </w:pPr>
          </w:p>
          <w:p>
            <w:pPr>
              <w:pStyle w:val="2"/>
              <w:jc w:val="center"/>
            </w:pPr>
          </w:p>
          <w:p>
            <w:pPr>
              <w:jc w:val="center"/>
            </w:pPr>
          </w:p>
          <w:p>
            <w:pPr>
              <w:pStyle w:val="2"/>
              <w:jc w:val="center"/>
            </w:pPr>
          </w:p>
          <w:p>
            <w:pPr>
              <w:widowControl/>
              <w:adjustRightInd w:val="0"/>
              <w:snapToGrid w:val="0"/>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532" w:type="dxa"/>
            <w:vMerge w:val="continue"/>
            <w:vAlign w:val="center"/>
          </w:tcPr>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widowControl/>
              <w:adjustRightInd w:val="0"/>
              <w:snapToGrid w:val="0"/>
              <w:spacing w:line="300" w:lineRule="exact"/>
              <w:ind w:left="-53" w:leftChars="-25"/>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课程建设</w:t>
            </w:r>
          </w:p>
          <w:p>
            <w:pPr>
              <w:widowControl/>
              <w:adjustRightInd w:val="0"/>
              <w:snapToGrid w:val="0"/>
              <w:spacing w:line="300" w:lineRule="exact"/>
              <w:ind w:left="-53" w:leftChars="-25"/>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（6分）</w:t>
            </w:r>
          </w:p>
        </w:tc>
        <w:tc>
          <w:tcPr>
            <w:tcW w:w="7240" w:type="dxa"/>
            <w:vAlign w:val="center"/>
          </w:tcPr>
          <w:p>
            <w:pPr>
              <w:widowControl/>
              <w:adjustRightInd w:val="0"/>
              <w:snapToGrid w:val="0"/>
              <w:spacing w:line="300" w:lineRule="exact"/>
              <w:ind w:left="-53" w:leftChars="-25"/>
              <w:rPr>
                <w:rFonts w:hint="eastAsia" w:ascii="仿宋_GB2312" w:hAnsi="宋体" w:eastAsia="仿宋_GB2312" w:cs="宋体"/>
                <w:color w:val="000000"/>
                <w:sz w:val="21"/>
                <w:szCs w:val="21"/>
                <w:lang w:eastAsia="zh-CN"/>
              </w:rPr>
            </w:pPr>
            <w:r>
              <w:rPr>
                <w:rFonts w:eastAsia="仿宋_GB2312"/>
                <w:color w:val="000000"/>
                <w:kern w:val="0"/>
                <w:sz w:val="21"/>
                <w:szCs w:val="21"/>
              </w:rPr>
              <w:t>每门课程均有课程标准，且内容完整、规范</w:t>
            </w:r>
            <w:r>
              <w:rPr>
                <w:rFonts w:hint="eastAsia" w:eastAsia="仿宋_GB2312"/>
                <w:color w:val="000000"/>
                <w:kern w:val="0"/>
                <w:sz w:val="21"/>
                <w:szCs w:val="21"/>
              </w:rPr>
              <w:t>，</w:t>
            </w:r>
            <w:r>
              <w:rPr>
                <w:rFonts w:eastAsia="仿宋_GB2312"/>
                <w:color w:val="000000"/>
                <w:kern w:val="0"/>
                <w:sz w:val="21"/>
                <w:szCs w:val="21"/>
              </w:rPr>
              <w:t>符合</w:t>
            </w:r>
            <w:r>
              <w:rPr>
                <w:rFonts w:hint="eastAsia" w:eastAsia="仿宋_GB2312"/>
                <w:color w:val="000000"/>
                <w:kern w:val="0"/>
                <w:sz w:val="21"/>
                <w:szCs w:val="21"/>
              </w:rPr>
              <w:t>诊改</w:t>
            </w:r>
            <w:r>
              <w:rPr>
                <w:rFonts w:eastAsia="仿宋_GB2312"/>
                <w:color w:val="000000"/>
                <w:kern w:val="0"/>
                <w:sz w:val="21"/>
                <w:szCs w:val="21"/>
              </w:rPr>
              <w:t>要求</w:t>
            </w:r>
            <w:r>
              <w:rPr>
                <w:rFonts w:hint="eastAsia" w:eastAsia="仿宋_GB2312"/>
                <w:color w:val="000000"/>
                <w:kern w:val="0"/>
                <w:sz w:val="21"/>
                <w:szCs w:val="21"/>
              </w:rPr>
              <w:t>；课程标准在实际教学过程中广泛应用；</w:t>
            </w:r>
            <w:r>
              <w:rPr>
                <w:rFonts w:eastAsia="仿宋_GB2312"/>
                <w:color w:val="000000"/>
                <w:kern w:val="0"/>
                <w:sz w:val="21"/>
                <w:szCs w:val="21"/>
              </w:rPr>
              <w:t>网络教学资源丰富，更新及时。</w:t>
            </w:r>
            <w:r>
              <w:rPr>
                <w:rFonts w:hint="eastAsia" w:eastAsia="仿宋_GB2312"/>
                <w:color w:val="000000"/>
                <w:kern w:val="0"/>
                <w:sz w:val="21"/>
                <w:szCs w:val="21"/>
              </w:rPr>
              <w:t>精品资源共享课建设与申报；在线开放课程建设与申报；课程思政开展到位</w:t>
            </w:r>
            <w:r>
              <w:rPr>
                <w:rFonts w:hint="eastAsia" w:eastAsia="仿宋_GB2312"/>
                <w:color w:val="000000"/>
                <w:kern w:val="0"/>
                <w:sz w:val="21"/>
                <w:szCs w:val="21"/>
                <w:lang w:eastAsia="zh-CN"/>
              </w:rPr>
              <w:t>。</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rPr>
            </w:pPr>
          </w:p>
        </w:tc>
        <w:tc>
          <w:tcPr>
            <w:tcW w:w="1442" w:type="dxa"/>
            <w:vMerge w:val="continue"/>
            <w:vAlign w:val="center"/>
          </w:tcPr>
          <w:p>
            <w:pPr>
              <w:widowControl/>
              <w:adjustRightInd w:val="0"/>
              <w:snapToGrid w:val="0"/>
              <w:spacing w:line="300" w:lineRule="exact"/>
              <w:jc w:val="center"/>
              <w:rPr>
                <w:rFonts w:cs="宋体" w:asciiTheme="minorEastAsia" w:hAnsiTheme="minorEastAsia" w:eastAsiaTheme="minorEastAsia"/>
                <w:bCs/>
                <w:color w:val="000000"/>
                <w:spacing w:val="-17"/>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532" w:type="dxa"/>
            <w:vMerge w:val="continue"/>
            <w:vAlign w:val="center"/>
          </w:tcPr>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widowControl/>
              <w:adjustRightInd w:val="0"/>
              <w:snapToGrid w:val="0"/>
              <w:spacing w:line="280" w:lineRule="exact"/>
              <w:ind w:left="-53" w:leftChars="-25"/>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师资队伍</w:t>
            </w:r>
          </w:p>
          <w:p>
            <w:pPr>
              <w:widowControl/>
              <w:adjustRightInd w:val="0"/>
              <w:snapToGrid w:val="0"/>
              <w:spacing w:line="280" w:lineRule="exact"/>
              <w:ind w:left="-53" w:leftChars="-25"/>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（6分）</w:t>
            </w:r>
          </w:p>
        </w:tc>
        <w:tc>
          <w:tcPr>
            <w:tcW w:w="7240" w:type="dxa"/>
            <w:vAlign w:val="center"/>
          </w:tcPr>
          <w:p>
            <w:pPr>
              <w:widowControl/>
              <w:adjustRightInd w:val="0"/>
              <w:snapToGrid w:val="0"/>
              <w:spacing w:line="280" w:lineRule="exact"/>
              <w:ind w:left="-53" w:leftChars="-25"/>
              <w:rPr>
                <w:rFonts w:ascii="仿宋_GB2312" w:hAnsi="宋体" w:eastAsia="仿宋_GB2312" w:cs="宋体"/>
                <w:color w:val="000000"/>
                <w:sz w:val="21"/>
                <w:szCs w:val="21"/>
              </w:rPr>
            </w:pPr>
            <w:r>
              <w:rPr>
                <w:rFonts w:hint="eastAsia" w:eastAsia="仿宋_GB2312"/>
                <w:color w:val="000000"/>
                <w:kern w:val="0"/>
                <w:sz w:val="21"/>
                <w:szCs w:val="21"/>
              </w:rPr>
              <w:t>建立专业教学团队、</w:t>
            </w:r>
            <w:r>
              <w:rPr>
                <w:rFonts w:eastAsia="仿宋_GB2312"/>
                <w:color w:val="000000"/>
                <w:kern w:val="0"/>
                <w:sz w:val="21"/>
                <w:szCs w:val="21"/>
              </w:rPr>
              <w:t>青年教师</w:t>
            </w:r>
            <w:r>
              <w:rPr>
                <w:rFonts w:hint="eastAsia" w:eastAsia="仿宋_GB2312"/>
                <w:color w:val="000000"/>
                <w:kern w:val="0"/>
                <w:sz w:val="21"/>
                <w:szCs w:val="21"/>
              </w:rPr>
              <w:t>队伍培养计划；建立兼职教师资源库，合理聘用兼职教师；师资管理培训工作完成情况。开展专业教师企业顶岗实践情况，人均每年到企业实践不少于1个月，达不到要求不得分；组织教学能力、课程思政比赛、活动情况。</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rPr>
            </w:pPr>
          </w:p>
        </w:tc>
        <w:tc>
          <w:tcPr>
            <w:tcW w:w="1442" w:type="dxa"/>
            <w:vMerge w:val="continue"/>
            <w:vAlign w:val="center"/>
          </w:tcPr>
          <w:p>
            <w:pPr>
              <w:widowControl/>
              <w:adjustRightInd w:val="0"/>
              <w:snapToGrid w:val="0"/>
              <w:spacing w:line="280" w:lineRule="exact"/>
              <w:jc w:val="center"/>
              <w:rPr>
                <w:rFonts w:cs="宋体" w:asciiTheme="minorEastAsia" w:hAnsiTheme="minorEastAsia" w:eastAsiaTheme="minorEastAsia"/>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532" w:type="dxa"/>
            <w:vMerge w:val="continue"/>
            <w:vAlign w:val="center"/>
          </w:tcPr>
          <w:p>
            <w:pPr>
              <w:widowControl/>
              <w:adjustRightInd w:val="0"/>
              <w:snapToGrid w:val="0"/>
              <w:spacing w:line="300" w:lineRule="exact"/>
              <w:jc w:val="center"/>
              <w:rPr>
                <w:rFonts w:hint="eastAsia" w:asciiTheme="minorEastAsia" w:hAnsiTheme="minorEastAsia" w:eastAsiaTheme="minorEastAsia" w:cstheme="minorEastAsia"/>
                <w:b/>
                <w:color w:val="000000"/>
                <w:sz w:val="24"/>
                <w:szCs w:val="24"/>
              </w:rPr>
            </w:pPr>
          </w:p>
        </w:tc>
        <w:tc>
          <w:tcPr>
            <w:tcW w:w="1701" w:type="dxa"/>
            <w:vAlign w:val="center"/>
          </w:tcPr>
          <w:p>
            <w:pPr>
              <w:widowControl/>
              <w:adjustRightInd w:val="0"/>
              <w:snapToGrid w:val="0"/>
              <w:spacing w:line="3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教材建设</w:t>
            </w:r>
          </w:p>
          <w:p>
            <w:pPr>
              <w:widowControl/>
              <w:adjustRightInd w:val="0"/>
              <w:snapToGrid w:val="0"/>
              <w:spacing w:line="3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（6分）</w:t>
            </w:r>
          </w:p>
        </w:tc>
        <w:tc>
          <w:tcPr>
            <w:tcW w:w="7240" w:type="dxa"/>
            <w:vAlign w:val="center"/>
          </w:tcPr>
          <w:p>
            <w:pPr>
              <w:widowControl/>
              <w:adjustRightInd w:val="0"/>
              <w:snapToGrid w:val="0"/>
              <w:spacing w:line="300" w:lineRule="exact"/>
              <w:rPr>
                <w:rFonts w:ascii="仿宋_GB2312" w:hAnsi="宋体" w:eastAsia="仿宋_GB2312" w:cs="宋体"/>
                <w:color w:val="auto"/>
                <w:sz w:val="21"/>
                <w:szCs w:val="21"/>
              </w:rPr>
            </w:pPr>
            <w:r>
              <w:rPr>
                <w:rFonts w:hint="eastAsia" w:ascii="仿宋_GB2312" w:eastAsia="仿宋_GB2312"/>
                <w:color w:val="auto"/>
                <w:spacing w:val="-4"/>
                <w:sz w:val="21"/>
                <w:szCs w:val="21"/>
              </w:rPr>
              <w:t>国家级规划教材入选当年加1分/本；校企合作教材、活页式、手册式等新型教材出版当年加0</w:t>
            </w:r>
            <w:r>
              <w:rPr>
                <w:rFonts w:ascii="仿宋_GB2312" w:eastAsia="仿宋_GB2312"/>
                <w:color w:val="auto"/>
                <w:spacing w:val="-4"/>
                <w:sz w:val="21"/>
                <w:szCs w:val="21"/>
              </w:rPr>
              <w:t>.5</w:t>
            </w:r>
            <w:r>
              <w:rPr>
                <w:rFonts w:hint="eastAsia" w:ascii="仿宋_GB2312" w:eastAsia="仿宋_GB2312"/>
                <w:color w:val="auto"/>
                <w:spacing w:val="-4"/>
                <w:sz w:val="21"/>
                <w:szCs w:val="21"/>
              </w:rPr>
              <w:t>分/本；其他普通教材出版当年加0</w:t>
            </w:r>
            <w:r>
              <w:rPr>
                <w:rFonts w:ascii="仿宋_GB2312" w:eastAsia="仿宋_GB2312"/>
                <w:color w:val="auto"/>
                <w:spacing w:val="-4"/>
                <w:sz w:val="21"/>
                <w:szCs w:val="21"/>
              </w:rPr>
              <w:t>.2</w:t>
            </w:r>
            <w:r>
              <w:rPr>
                <w:rFonts w:hint="eastAsia" w:ascii="仿宋_GB2312" w:eastAsia="仿宋_GB2312"/>
                <w:color w:val="auto"/>
                <w:spacing w:val="-4"/>
                <w:sz w:val="21"/>
                <w:szCs w:val="21"/>
              </w:rPr>
              <w:t>分/本。评分标准按照前5顺序依次乘以1、0</w:t>
            </w:r>
            <w:r>
              <w:rPr>
                <w:rFonts w:ascii="仿宋_GB2312" w:eastAsia="仿宋_GB2312"/>
                <w:color w:val="auto"/>
                <w:spacing w:val="-4"/>
                <w:sz w:val="21"/>
                <w:szCs w:val="21"/>
              </w:rPr>
              <w:t>.9</w:t>
            </w:r>
            <w:r>
              <w:rPr>
                <w:rFonts w:hint="eastAsia" w:ascii="仿宋_GB2312" w:eastAsia="仿宋_GB2312"/>
                <w:color w:val="auto"/>
                <w:spacing w:val="-4"/>
                <w:sz w:val="21"/>
                <w:szCs w:val="21"/>
              </w:rPr>
              <w:t>、0</w:t>
            </w:r>
            <w:r>
              <w:rPr>
                <w:rFonts w:ascii="仿宋_GB2312" w:eastAsia="仿宋_GB2312"/>
                <w:color w:val="auto"/>
                <w:spacing w:val="-4"/>
                <w:sz w:val="21"/>
                <w:szCs w:val="21"/>
              </w:rPr>
              <w:t>.7</w:t>
            </w:r>
            <w:r>
              <w:rPr>
                <w:rFonts w:hint="eastAsia" w:ascii="仿宋_GB2312" w:eastAsia="仿宋_GB2312"/>
                <w:color w:val="auto"/>
                <w:spacing w:val="-4"/>
                <w:sz w:val="21"/>
                <w:szCs w:val="21"/>
              </w:rPr>
              <w:t>、0</w:t>
            </w:r>
            <w:r>
              <w:rPr>
                <w:rFonts w:ascii="仿宋_GB2312" w:eastAsia="仿宋_GB2312"/>
                <w:color w:val="auto"/>
                <w:spacing w:val="-4"/>
                <w:sz w:val="21"/>
                <w:szCs w:val="21"/>
              </w:rPr>
              <w:t>.5</w:t>
            </w:r>
            <w:r>
              <w:rPr>
                <w:rFonts w:hint="eastAsia" w:ascii="仿宋_GB2312" w:eastAsia="仿宋_GB2312"/>
                <w:color w:val="auto"/>
                <w:spacing w:val="-4"/>
                <w:sz w:val="21"/>
                <w:szCs w:val="21"/>
              </w:rPr>
              <w:t>、0</w:t>
            </w:r>
            <w:r>
              <w:rPr>
                <w:rFonts w:ascii="仿宋_GB2312" w:eastAsia="仿宋_GB2312"/>
                <w:color w:val="auto"/>
                <w:spacing w:val="-4"/>
                <w:sz w:val="21"/>
                <w:szCs w:val="21"/>
              </w:rPr>
              <w:t>.3</w:t>
            </w:r>
            <w:r>
              <w:rPr>
                <w:rFonts w:hint="eastAsia" w:ascii="仿宋_GB2312" w:eastAsia="仿宋_GB2312"/>
                <w:color w:val="auto"/>
                <w:spacing w:val="-4"/>
                <w:sz w:val="21"/>
                <w:szCs w:val="21"/>
              </w:rPr>
              <w:t>；获奖等次依次乘以1、0</w:t>
            </w:r>
            <w:r>
              <w:rPr>
                <w:rFonts w:ascii="仿宋_GB2312" w:eastAsia="仿宋_GB2312"/>
                <w:color w:val="auto"/>
                <w:spacing w:val="-4"/>
                <w:sz w:val="21"/>
                <w:szCs w:val="21"/>
              </w:rPr>
              <w:t>.9</w:t>
            </w:r>
            <w:r>
              <w:rPr>
                <w:rFonts w:hint="eastAsia" w:ascii="仿宋_GB2312" w:eastAsia="仿宋_GB2312"/>
                <w:color w:val="auto"/>
                <w:spacing w:val="-4"/>
                <w:sz w:val="21"/>
                <w:szCs w:val="21"/>
              </w:rPr>
              <w:t>、0</w:t>
            </w:r>
            <w:r>
              <w:rPr>
                <w:rFonts w:ascii="仿宋_GB2312" w:eastAsia="仿宋_GB2312"/>
                <w:color w:val="auto"/>
                <w:spacing w:val="-4"/>
                <w:sz w:val="21"/>
                <w:szCs w:val="21"/>
              </w:rPr>
              <w:t>.7</w:t>
            </w:r>
            <w:r>
              <w:rPr>
                <w:rFonts w:hint="eastAsia" w:ascii="仿宋_GB2312" w:eastAsia="仿宋_GB2312"/>
                <w:color w:val="auto"/>
                <w:spacing w:val="-4"/>
                <w:sz w:val="21"/>
                <w:szCs w:val="21"/>
              </w:rPr>
              <w:t>。</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rPr>
            </w:pPr>
          </w:p>
        </w:tc>
        <w:tc>
          <w:tcPr>
            <w:tcW w:w="1442" w:type="dxa"/>
            <w:vMerge w:val="continue"/>
            <w:vAlign w:val="center"/>
          </w:tcPr>
          <w:p>
            <w:pPr>
              <w:widowControl/>
              <w:adjustRightInd w:val="0"/>
              <w:snapToGrid w:val="0"/>
              <w:spacing w:line="300" w:lineRule="exact"/>
              <w:jc w:val="center"/>
              <w:rPr>
                <w:rFonts w:cs="宋体" w:asciiTheme="minorEastAsia" w:hAnsiTheme="minorEastAsia" w:eastAsiaTheme="minorEastAsia"/>
                <w:bCs/>
                <w:color w:val="000000"/>
                <w:spacing w:val="-17"/>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15" w:hRule="atLeast"/>
          <w:jc w:val="center"/>
        </w:trPr>
        <w:tc>
          <w:tcPr>
            <w:tcW w:w="1532" w:type="dxa"/>
            <w:vMerge w:val="continue"/>
            <w:vAlign w:val="center"/>
          </w:tcPr>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教学日常管理</w:t>
            </w:r>
          </w:p>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（6分）</w:t>
            </w:r>
          </w:p>
        </w:tc>
        <w:tc>
          <w:tcPr>
            <w:tcW w:w="7240" w:type="dxa"/>
            <w:vAlign w:val="center"/>
          </w:tcPr>
          <w:p>
            <w:pPr>
              <w:widowControl/>
              <w:adjustRightInd w:val="0"/>
              <w:snapToGrid w:val="0"/>
              <w:spacing w:line="280" w:lineRule="exact"/>
              <w:ind w:left="-53" w:leftChars="-25"/>
              <w:rPr>
                <w:rFonts w:hint="eastAsia" w:eastAsia="仿宋_GB2312"/>
                <w:color w:val="auto"/>
                <w:kern w:val="0"/>
                <w:sz w:val="21"/>
                <w:szCs w:val="21"/>
                <w:lang w:eastAsia="zh-CN"/>
              </w:rPr>
            </w:pPr>
            <w:r>
              <w:rPr>
                <w:rFonts w:hint="eastAsia" w:eastAsia="仿宋_GB2312"/>
                <w:color w:val="auto"/>
                <w:kern w:val="0"/>
                <w:sz w:val="21"/>
                <w:szCs w:val="21"/>
              </w:rPr>
              <w:t>加强教学日常管理，教学工作任务完成情况；教材选用和清退剩余教材按时完成；课时统计表按时公示、上报</w:t>
            </w:r>
            <w:r>
              <w:rPr>
                <w:rFonts w:hint="eastAsia" w:eastAsia="仿宋_GB2312"/>
                <w:color w:val="auto"/>
                <w:kern w:val="0"/>
                <w:sz w:val="21"/>
                <w:szCs w:val="21"/>
                <w:lang w:eastAsia="zh-CN"/>
              </w:rPr>
              <w:t>。</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宋体" w:eastAsia="仿宋_GB2312"/>
                <w:color w:val="000000"/>
                <w:sz w:val="21"/>
                <w:szCs w:val="21"/>
              </w:rPr>
            </w:pPr>
          </w:p>
        </w:tc>
        <w:tc>
          <w:tcPr>
            <w:tcW w:w="1442" w:type="dxa"/>
            <w:vMerge w:val="continue"/>
            <w:vAlign w:val="center"/>
          </w:tcPr>
          <w:p>
            <w:pPr>
              <w:widowControl/>
              <w:adjustRightInd w:val="0"/>
              <w:snapToGrid w:val="0"/>
              <w:spacing w:line="280" w:lineRule="exact"/>
              <w:jc w:val="center"/>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532" w:type="dxa"/>
            <w:vMerge w:val="continue"/>
            <w:tcBorders>
              <w:bottom w:val="single" w:color="auto" w:sz="4" w:space="0"/>
            </w:tcBorders>
            <w:vAlign w:val="center"/>
          </w:tcPr>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tc>
        <w:tc>
          <w:tcPr>
            <w:tcW w:w="1701" w:type="dxa"/>
            <w:tcBorders>
              <w:bottom w:val="single" w:color="auto" w:sz="4" w:space="0"/>
            </w:tcBorders>
            <w:vAlign w:val="center"/>
          </w:tcPr>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实践教学管理（5分）</w:t>
            </w:r>
          </w:p>
        </w:tc>
        <w:tc>
          <w:tcPr>
            <w:tcW w:w="7240" w:type="dxa"/>
            <w:tcBorders>
              <w:bottom w:val="single" w:color="auto" w:sz="4" w:space="0"/>
            </w:tcBorders>
            <w:vAlign w:val="center"/>
          </w:tcPr>
          <w:p>
            <w:pPr>
              <w:adjustRightInd w:val="0"/>
              <w:snapToGrid w:val="0"/>
              <w:spacing w:line="280" w:lineRule="exact"/>
              <w:rPr>
                <w:rFonts w:eastAsia="仿宋_GB2312"/>
                <w:color w:val="000000"/>
                <w:kern w:val="0"/>
                <w:sz w:val="21"/>
                <w:szCs w:val="21"/>
              </w:rPr>
            </w:pPr>
            <w:r>
              <w:rPr>
                <w:rFonts w:hint="eastAsia" w:eastAsia="仿宋_GB2312"/>
                <w:color w:val="000000"/>
                <w:kern w:val="0"/>
                <w:sz w:val="21"/>
                <w:szCs w:val="21"/>
              </w:rPr>
              <w:t>加强实训实习管理，认岗实习、跟岗实习、顶岗实习过程材料完备，有详细的实习学生名单。</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tcBorders>
              <w:bottom w:val="single" w:color="auto" w:sz="4" w:space="0"/>
            </w:tcBorders>
            <w:vAlign w:val="center"/>
          </w:tcPr>
          <w:p>
            <w:pPr>
              <w:widowControl/>
              <w:adjustRightInd w:val="0"/>
              <w:snapToGrid w:val="0"/>
              <w:spacing w:line="280" w:lineRule="exact"/>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实验实训</w:t>
            </w:r>
          </w:p>
          <w:p>
            <w:pPr>
              <w:widowControl/>
              <w:adjustRightInd w:val="0"/>
              <w:snapToGrid w:val="0"/>
              <w:spacing w:line="280" w:lineRule="exact"/>
              <w:jc w:val="center"/>
              <w:rPr>
                <w:rFonts w:asciiTheme="minorEastAsia" w:hAnsiTheme="minorEastAsia" w:eastAsiaTheme="minorEastAsia"/>
                <w:color w:val="000000"/>
                <w:sz w:val="24"/>
              </w:rPr>
            </w:pPr>
            <w:r>
              <w:rPr>
                <w:rFonts w:hint="eastAsia" w:cs="宋体" w:asciiTheme="minorEastAsia" w:hAnsiTheme="minorEastAsia" w:eastAsiaTheme="minorEastAsia"/>
                <w:bCs/>
                <w:color w:val="000000"/>
                <w:kern w:val="0"/>
                <w:sz w:val="24"/>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79" w:hRule="atLeast"/>
          <w:jc w:val="center"/>
        </w:trPr>
        <w:tc>
          <w:tcPr>
            <w:tcW w:w="1532" w:type="dxa"/>
            <w:vMerge w:val="restart"/>
            <w:vAlign w:val="center"/>
          </w:tcPr>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2.学生工作</w:t>
            </w: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（25分）</w:t>
            </w: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sz w:val="24"/>
                <w:szCs w:val="24"/>
                <w:lang w:eastAsia="zh-CN"/>
              </w:rPr>
            </w:pPr>
          </w:p>
        </w:tc>
        <w:tc>
          <w:tcPr>
            <w:tcW w:w="1701"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辅导员队伍建设（5分）</w:t>
            </w:r>
          </w:p>
        </w:tc>
        <w:tc>
          <w:tcPr>
            <w:tcW w:w="7240" w:type="dxa"/>
            <w:vAlign w:val="center"/>
          </w:tcPr>
          <w:p>
            <w:pPr>
              <w:adjustRightInd w:val="0"/>
              <w:snapToGrid w:val="0"/>
              <w:spacing w:line="280" w:lineRule="exact"/>
              <w:rPr>
                <w:rFonts w:hint="eastAsia" w:ascii="仿宋_GB2312" w:hAnsi="宋体" w:eastAsia="仿宋_GB2312"/>
                <w:color w:val="000000"/>
                <w:sz w:val="24"/>
                <w:lang w:eastAsia="zh-CN"/>
              </w:rPr>
            </w:pPr>
            <w:r>
              <w:rPr>
                <w:rFonts w:eastAsia="仿宋_GB2312"/>
                <w:color w:val="auto"/>
                <w:kern w:val="0"/>
                <w:sz w:val="24"/>
              </w:rPr>
              <w:t>辅导员、班主任配备整齐</w:t>
            </w:r>
            <w:r>
              <w:rPr>
                <w:rFonts w:hint="eastAsia" w:eastAsia="仿宋_GB2312"/>
                <w:color w:val="auto"/>
                <w:kern w:val="0"/>
                <w:sz w:val="24"/>
              </w:rPr>
              <w:t>;</w:t>
            </w:r>
            <w:r>
              <w:rPr>
                <w:rFonts w:eastAsia="仿宋_GB2312"/>
                <w:color w:val="auto"/>
                <w:kern w:val="0"/>
                <w:sz w:val="24"/>
              </w:rPr>
              <w:t>辅导员、班主任有学期计划、总结</w:t>
            </w:r>
            <w:r>
              <w:rPr>
                <w:rFonts w:hint="eastAsia" w:eastAsia="仿宋_GB2312"/>
                <w:color w:val="auto"/>
                <w:kern w:val="0"/>
                <w:sz w:val="24"/>
              </w:rPr>
              <w:t>;</w:t>
            </w:r>
            <w:r>
              <w:rPr>
                <w:rFonts w:eastAsia="仿宋_GB2312"/>
                <w:color w:val="auto"/>
                <w:kern w:val="0"/>
                <w:sz w:val="24"/>
              </w:rPr>
              <w:t>实行问责制，有辅导员、班主任考核制度及考核记录</w:t>
            </w:r>
            <w:r>
              <w:rPr>
                <w:rFonts w:hint="eastAsia" w:eastAsia="仿宋_GB2312"/>
                <w:color w:val="auto"/>
                <w:kern w:val="0"/>
                <w:sz w:val="24"/>
              </w:rPr>
              <w:t>;</w:t>
            </w:r>
            <w:r>
              <w:rPr>
                <w:rFonts w:eastAsia="仿宋_GB2312"/>
                <w:color w:val="auto"/>
                <w:kern w:val="0"/>
                <w:sz w:val="24"/>
              </w:rPr>
              <w:t>辅导员、班主任工作日志记录详细</w:t>
            </w:r>
            <w:r>
              <w:rPr>
                <w:rFonts w:hint="eastAsia" w:eastAsia="仿宋_GB2312"/>
                <w:color w:val="auto"/>
                <w:kern w:val="0"/>
                <w:sz w:val="24"/>
                <w:lang w:eastAsia="zh-CN"/>
              </w:rPr>
              <w:t>。</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olor w:val="000000"/>
                <w:sz w:val="21"/>
                <w:szCs w:val="21"/>
                <w:lang w:val="en-US" w:eastAsia="zh-CN"/>
              </w:rPr>
            </w:pPr>
          </w:p>
        </w:tc>
        <w:tc>
          <w:tcPr>
            <w:tcW w:w="1442" w:type="dxa"/>
            <w:vMerge w:val="restart"/>
            <w:vAlign w:val="center"/>
          </w:tcPr>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r>
              <w:rPr>
                <w:rFonts w:asciiTheme="minorEastAsia" w:hAnsiTheme="minorEastAsia" w:eastAsiaTheme="minorEastAsia"/>
                <w:color w:val="000000"/>
                <w:sz w:val="24"/>
              </w:rPr>
              <w:t>团委</w:t>
            </w:r>
          </w:p>
          <w:p>
            <w:pPr>
              <w:widowControl/>
              <w:adjustRightInd w:val="0"/>
              <w:snapToGrid w:val="0"/>
              <w:spacing w:line="280" w:lineRule="exact"/>
              <w:jc w:val="both"/>
              <w:rPr>
                <w:rFonts w:asciiTheme="minorEastAsia" w:hAnsiTheme="minorEastAsia" w:eastAsiaTheme="minorEastAsia"/>
                <w:color w:val="000000"/>
                <w:sz w:val="24"/>
              </w:rPr>
            </w:pPr>
            <w:r>
              <w:rPr>
                <w:rFonts w:asciiTheme="minorEastAsia" w:hAnsiTheme="minorEastAsia" w:eastAsiaTheme="minorEastAsia"/>
                <w:color w:val="000000"/>
                <w:sz w:val="24"/>
              </w:rPr>
              <w:t>学生工作处</w:t>
            </w: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center"/>
              <w:rPr>
                <w:rFonts w:asciiTheme="minorEastAsia" w:hAnsiTheme="minorEastAsia" w:eastAsiaTheme="minorEastAsia"/>
                <w:color w:val="000000"/>
                <w:sz w:val="24"/>
              </w:rPr>
            </w:pPr>
          </w:p>
          <w:p>
            <w:pPr>
              <w:widowControl/>
              <w:adjustRightInd w:val="0"/>
              <w:snapToGrid w:val="0"/>
              <w:spacing w:line="280" w:lineRule="exact"/>
              <w:jc w:val="both"/>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50" w:hRule="atLeast"/>
          <w:jc w:val="center"/>
        </w:trPr>
        <w:tc>
          <w:tcPr>
            <w:tcW w:w="1532" w:type="dxa"/>
            <w:vMerge w:val="continue"/>
            <w:vAlign w:val="center"/>
          </w:tcPr>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共青团工作</w:t>
            </w:r>
          </w:p>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（4分）</w:t>
            </w:r>
          </w:p>
        </w:tc>
        <w:tc>
          <w:tcPr>
            <w:tcW w:w="7240" w:type="dxa"/>
            <w:vAlign w:val="center"/>
          </w:tcPr>
          <w:p>
            <w:pPr>
              <w:adjustRightInd w:val="0"/>
              <w:snapToGrid w:val="0"/>
              <w:spacing w:line="280" w:lineRule="exact"/>
              <w:rPr>
                <w:rFonts w:hint="eastAsia" w:ascii="仿宋_GB2312" w:hAnsi="宋体" w:eastAsia="仿宋_GB2312"/>
                <w:color w:val="000000"/>
                <w:sz w:val="24"/>
                <w:lang w:eastAsia="zh-CN"/>
              </w:rPr>
            </w:pPr>
            <w:r>
              <w:rPr>
                <w:rFonts w:eastAsia="仿宋_GB2312"/>
                <w:color w:val="000000"/>
                <w:kern w:val="0"/>
                <w:sz w:val="24"/>
              </w:rPr>
              <w:t>团总支组织健全，制度完善,工作有计划，有总结</w:t>
            </w:r>
            <w:r>
              <w:rPr>
                <w:rFonts w:hint="eastAsia" w:eastAsia="仿宋_GB2312"/>
                <w:color w:val="000000"/>
                <w:kern w:val="0"/>
                <w:sz w:val="24"/>
              </w:rPr>
              <w:t>;</w:t>
            </w:r>
            <w:r>
              <w:rPr>
                <w:rFonts w:eastAsia="仿宋_GB2312"/>
                <w:color w:val="000000"/>
                <w:spacing w:val="6"/>
                <w:kern w:val="0"/>
                <w:sz w:val="24"/>
              </w:rPr>
              <w:t>团费收缴、团员统计、团组织关系接转、团员注册规范化情况</w:t>
            </w:r>
            <w:r>
              <w:rPr>
                <w:rFonts w:hint="eastAsia" w:eastAsia="仿宋_GB2312"/>
                <w:color w:val="000000"/>
                <w:spacing w:val="6"/>
                <w:kern w:val="0"/>
                <w:sz w:val="24"/>
              </w:rPr>
              <w:t>;</w:t>
            </w:r>
            <w:r>
              <w:rPr>
                <w:rFonts w:eastAsia="仿宋_GB2312"/>
                <w:color w:val="000000"/>
                <w:kern w:val="0"/>
                <w:sz w:val="24"/>
              </w:rPr>
              <w:t>参加党校培训和推优入党工作开展情况</w:t>
            </w:r>
            <w:r>
              <w:rPr>
                <w:rFonts w:hint="eastAsia" w:eastAsia="仿宋_GB2312"/>
                <w:color w:val="000000"/>
                <w:kern w:val="0"/>
                <w:sz w:val="24"/>
                <w:lang w:eastAsia="zh-CN"/>
              </w:rPr>
              <w:t>。</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vMerge w:val="continue"/>
            <w:vAlign w:val="center"/>
          </w:tcPr>
          <w:p>
            <w:pPr>
              <w:adjustRightInd w:val="0"/>
              <w:snapToGrid w:val="0"/>
              <w:spacing w:line="280" w:lineRule="exact"/>
              <w:jc w:val="center"/>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12" w:hRule="atLeast"/>
          <w:jc w:val="center"/>
        </w:trPr>
        <w:tc>
          <w:tcPr>
            <w:tcW w:w="1532" w:type="dxa"/>
            <w:vMerge w:val="continue"/>
            <w:vAlign w:val="center"/>
          </w:tcPr>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学生干部队伍建设（4分）</w:t>
            </w:r>
          </w:p>
        </w:tc>
        <w:tc>
          <w:tcPr>
            <w:tcW w:w="7240" w:type="dxa"/>
            <w:vAlign w:val="center"/>
          </w:tcPr>
          <w:p>
            <w:pPr>
              <w:adjustRightInd w:val="0"/>
              <w:snapToGrid w:val="0"/>
              <w:spacing w:line="280" w:lineRule="exact"/>
              <w:rPr>
                <w:rFonts w:hint="eastAsia" w:eastAsia="仿宋_GB2312"/>
                <w:color w:val="000000"/>
                <w:kern w:val="0"/>
                <w:sz w:val="24"/>
                <w:lang w:eastAsia="zh-CN"/>
              </w:rPr>
            </w:pPr>
            <w:r>
              <w:rPr>
                <w:rFonts w:eastAsia="仿宋_GB2312"/>
                <w:color w:val="000000"/>
                <w:kern w:val="0"/>
                <w:sz w:val="24"/>
              </w:rPr>
              <w:t>推荐优秀学生干部到院学生会任职情况</w:t>
            </w:r>
            <w:r>
              <w:rPr>
                <w:rFonts w:hint="eastAsia" w:eastAsia="仿宋_GB2312"/>
                <w:color w:val="000000"/>
                <w:kern w:val="0"/>
                <w:sz w:val="24"/>
              </w:rPr>
              <w:t>;</w:t>
            </w:r>
            <w:r>
              <w:rPr>
                <w:rFonts w:eastAsia="仿宋_GB2312"/>
                <w:color w:val="000000"/>
                <w:kern w:val="0"/>
                <w:sz w:val="24"/>
              </w:rPr>
              <w:t>学生自我管理、自我教育、自我服务成效突出</w:t>
            </w:r>
            <w:r>
              <w:rPr>
                <w:rFonts w:hint="eastAsia" w:eastAsia="仿宋_GB2312"/>
                <w:color w:val="000000"/>
                <w:kern w:val="0"/>
                <w:sz w:val="24"/>
              </w:rPr>
              <w:t>;</w:t>
            </w:r>
            <w:r>
              <w:rPr>
                <w:rFonts w:eastAsia="仿宋_GB2312"/>
                <w:color w:val="000000"/>
                <w:kern w:val="0"/>
                <w:sz w:val="24"/>
              </w:rPr>
              <w:t>学生会、班委会等组织健全，换届及时</w:t>
            </w:r>
            <w:r>
              <w:rPr>
                <w:rFonts w:hint="eastAsia" w:eastAsia="仿宋_GB2312"/>
                <w:color w:val="000000"/>
                <w:kern w:val="0"/>
                <w:sz w:val="24"/>
              </w:rPr>
              <w:t>;</w:t>
            </w:r>
            <w:r>
              <w:rPr>
                <w:rFonts w:eastAsia="仿宋_GB2312"/>
                <w:color w:val="000000"/>
                <w:kern w:val="0"/>
                <w:sz w:val="24"/>
              </w:rPr>
              <w:t>院团委召开会议、安排各项任务，团总支执行情况</w:t>
            </w:r>
            <w:r>
              <w:rPr>
                <w:rFonts w:hint="eastAsia" w:eastAsia="仿宋_GB2312"/>
                <w:color w:val="000000"/>
                <w:kern w:val="0"/>
                <w:sz w:val="24"/>
                <w:lang w:eastAsia="zh-CN"/>
              </w:rPr>
              <w:t>。</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vMerge w:val="continue"/>
            <w:vAlign w:val="center"/>
          </w:tcPr>
          <w:p>
            <w:pPr>
              <w:adjustRightInd w:val="0"/>
              <w:snapToGrid w:val="0"/>
              <w:spacing w:line="280" w:lineRule="exact"/>
              <w:jc w:val="center"/>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42" w:hRule="atLeast"/>
          <w:jc w:val="center"/>
        </w:trPr>
        <w:tc>
          <w:tcPr>
            <w:tcW w:w="1532" w:type="dxa"/>
            <w:vMerge w:val="continue"/>
            <w:vAlign w:val="center"/>
          </w:tcPr>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学生资助工作（4分）</w:t>
            </w:r>
          </w:p>
        </w:tc>
        <w:tc>
          <w:tcPr>
            <w:tcW w:w="7240" w:type="dxa"/>
            <w:vAlign w:val="center"/>
          </w:tcPr>
          <w:p>
            <w:pPr>
              <w:adjustRightInd w:val="0"/>
              <w:snapToGrid w:val="0"/>
              <w:spacing w:line="280" w:lineRule="exact"/>
              <w:rPr>
                <w:rFonts w:hint="eastAsia" w:ascii="仿宋_GB2312" w:hAnsi="宋体" w:eastAsia="仿宋_GB2312"/>
                <w:color w:val="000000"/>
                <w:sz w:val="24"/>
                <w:lang w:eastAsia="zh-CN"/>
              </w:rPr>
            </w:pPr>
            <w:r>
              <w:rPr>
                <w:rFonts w:hint="eastAsia" w:eastAsia="仿宋_GB2312"/>
                <w:color w:val="000000"/>
                <w:kern w:val="0"/>
                <w:sz w:val="24"/>
              </w:rPr>
              <w:t>学生资助工作程序严谨、工作规范，档案资料齐全完整</w:t>
            </w:r>
            <w:r>
              <w:rPr>
                <w:rFonts w:eastAsia="仿宋_GB2312"/>
                <w:color w:val="000000"/>
                <w:kern w:val="0"/>
                <w:sz w:val="24"/>
              </w:rPr>
              <w:t>，包括申请书、系部审查意见、班级评议意见、公示书、发放登记表等</w:t>
            </w:r>
            <w:r>
              <w:rPr>
                <w:rFonts w:hint="eastAsia" w:eastAsia="仿宋_GB2312"/>
                <w:color w:val="000000"/>
                <w:kern w:val="0"/>
                <w:sz w:val="24"/>
              </w:rPr>
              <w:t>;</w:t>
            </w:r>
            <w:r>
              <w:rPr>
                <w:rFonts w:eastAsia="仿宋_GB2312"/>
                <w:color w:val="000000"/>
                <w:kern w:val="0"/>
                <w:sz w:val="24"/>
              </w:rPr>
              <w:t>贫困生档案</w:t>
            </w:r>
            <w:r>
              <w:rPr>
                <w:rFonts w:hint="eastAsia" w:eastAsia="仿宋_GB2312"/>
                <w:color w:val="000000"/>
                <w:kern w:val="0"/>
                <w:sz w:val="24"/>
              </w:rPr>
              <w:t>;</w:t>
            </w:r>
            <w:r>
              <w:rPr>
                <w:rFonts w:eastAsia="仿宋_GB2312"/>
                <w:color w:val="000000"/>
                <w:kern w:val="0"/>
                <w:sz w:val="24"/>
              </w:rPr>
              <w:t>各类资助材料上交及时、准确</w:t>
            </w:r>
            <w:r>
              <w:rPr>
                <w:rFonts w:hint="eastAsia" w:eastAsia="仿宋_GB2312"/>
                <w:color w:val="000000"/>
                <w:kern w:val="0"/>
                <w:sz w:val="24"/>
              </w:rPr>
              <w:t>;</w:t>
            </w:r>
            <w:r>
              <w:rPr>
                <w:rFonts w:eastAsia="仿宋_GB2312"/>
                <w:color w:val="000000"/>
                <w:kern w:val="0"/>
                <w:sz w:val="24"/>
              </w:rPr>
              <w:t>开展诚信教育情况</w:t>
            </w:r>
            <w:r>
              <w:rPr>
                <w:rFonts w:hint="eastAsia" w:eastAsia="仿宋_GB2312"/>
                <w:color w:val="000000"/>
                <w:kern w:val="0"/>
                <w:sz w:val="24"/>
              </w:rPr>
              <w:t>;</w:t>
            </w:r>
            <w:r>
              <w:rPr>
                <w:rFonts w:eastAsia="仿宋_GB2312"/>
                <w:color w:val="000000"/>
                <w:kern w:val="0"/>
                <w:sz w:val="24"/>
              </w:rPr>
              <w:t>勤工助学情况</w:t>
            </w:r>
            <w:r>
              <w:rPr>
                <w:rFonts w:hint="eastAsia" w:eastAsia="仿宋_GB2312"/>
                <w:color w:val="000000"/>
                <w:kern w:val="0"/>
                <w:sz w:val="24"/>
                <w:lang w:eastAsia="zh-CN"/>
              </w:rPr>
              <w:t>。</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vMerge w:val="continue"/>
            <w:vAlign w:val="center"/>
          </w:tcPr>
          <w:p>
            <w:pPr>
              <w:widowControl/>
              <w:adjustRightInd w:val="0"/>
              <w:snapToGrid w:val="0"/>
              <w:spacing w:line="260" w:lineRule="exact"/>
              <w:jc w:val="center"/>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94" w:hRule="atLeast"/>
          <w:jc w:val="center"/>
        </w:trPr>
        <w:tc>
          <w:tcPr>
            <w:tcW w:w="1532" w:type="dxa"/>
            <w:vMerge w:val="continue"/>
            <w:vAlign w:val="center"/>
          </w:tcPr>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学生社团活动（4分）</w:t>
            </w:r>
          </w:p>
        </w:tc>
        <w:tc>
          <w:tcPr>
            <w:tcW w:w="7240" w:type="dxa"/>
            <w:vAlign w:val="center"/>
          </w:tcPr>
          <w:p>
            <w:pPr>
              <w:adjustRightInd w:val="0"/>
              <w:snapToGrid w:val="0"/>
              <w:spacing w:line="280" w:lineRule="exact"/>
              <w:rPr>
                <w:rFonts w:hint="eastAsia" w:ascii="仿宋_GB2312" w:hAnsi="宋体" w:eastAsia="仿宋_GB2312"/>
                <w:color w:val="000000"/>
                <w:sz w:val="24"/>
                <w:lang w:eastAsia="zh-CN"/>
              </w:rPr>
            </w:pPr>
            <w:r>
              <w:rPr>
                <w:rFonts w:eastAsia="仿宋_GB2312"/>
                <w:color w:val="000000"/>
                <w:kern w:val="0"/>
                <w:sz w:val="24"/>
              </w:rPr>
              <w:t>系社团上交社联工作计划、总结、常规工作资料情况</w:t>
            </w:r>
            <w:r>
              <w:rPr>
                <w:rFonts w:hint="eastAsia" w:eastAsia="仿宋_GB2312"/>
                <w:color w:val="000000"/>
                <w:kern w:val="0"/>
                <w:sz w:val="24"/>
              </w:rPr>
              <w:t>；</w:t>
            </w:r>
            <w:r>
              <w:rPr>
                <w:rFonts w:eastAsia="仿宋_GB2312"/>
                <w:color w:val="000000"/>
                <w:kern w:val="0"/>
                <w:sz w:val="24"/>
              </w:rPr>
              <w:t>定期举办社团活动</w:t>
            </w:r>
            <w:r>
              <w:rPr>
                <w:rFonts w:hint="eastAsia" w:eastAsia="仿宋_GB2312"/>
                <w:color w:val="000000"/>
                <w:kern w:val="0"/>
                <w:sz w:val="24"/>
              </w:rPr>
              <w:t>，</w:t>
            </w:r>
            <w:r>
              <w:rPr>
                <w:rFonts w:eastAsia="仿宋_GB2312"/>
                <w:color w:val="000000"/>
                <w:kern w:val="0"/>
                <w:sz w:val="24"/>
              </w:rPr>
              <w:t>有计划、总结</w:t>
            </w:r>
            <w:r>
              <w:rPr>
                <w:rFonts w:hint="eastAsia" w:eastAsia="仿宋_GB2312"/>
                <w:color w:val="000000"/>
                <w:kern w:val="0"/>
                <w:sz w:val="24"/>
                <w:lang w:eastAsia="zh-CN"/>
              </w:rPr>
              <w:t>。</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vMerge w:val="continue"/>
            <w:vAlign w:val="center"/>
          </w:tcPr>
          <w:p>
            <w:pPr>
              <w:widowControl/>
              <w:adjustRightInd w:val="0"/>
              <w:snapToGrid w:val="0"/>
              <w:spacing w:line="260" w:lineRule="exact"/>
              <w:jc w:val="center"/>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90" w:hRule="atLeast"/>
          <w:jc w:val="center"/>
        </w:trPr>
        <w:tc>
          <w:tcPr>
            <w:tcW w:w="1532" w:type="dxa"/>
            <w:vMerge w:val="continue"/>
            <w:vAlign w:val="center"/>
          </w:tcPr>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日常量化管理（4分）</w:t>
            </w:r>
          </w:p>
        </w:tc>
        <w:tc>
          <w:tcPr>
            <w:tcW w:w="7240" w:type="dxa"/>
            <w:vAlign w:val="center"/>
          </w:tcPr>
          <w:p>
            <w:pPr>
              <w:adjustRightInd w:val="0"/>
              <w:snapToGrid w:val="0"/>
              <w:spacing w:line="280" w:lineRule="exact"/>
              <w:rPr>
                <w:rFonts w:ascii="仿宋_GB2312" w:hAnsi="宋体" w:eastAsia="仿宋_GB2312"/>
                <w:color w:val="000000"/>
                <w:sz w:val="24"/>
              </w:rPr>
            </w:pPr>
            <w:r>
              <w:rPr>
                <w:rFonts w:eastAsia="仿宋_GB2312"/>
                <w:color w:val="000000"/>
                <w:kern w:val="0"/>
                <w:sz w:val="24"/>
              </w:rPr>
              <w:t>每学期召开团学工作的专题会议2次以上</w:t>
            </w:r>
            <w:r>
              <w:rPr>
                <w:rFonts w:hint="eastAsia" w:eastAsia="仿宋_GB2312"/>
                <w:color w:val="000000"/>
                <w:kern w:val="0"/>
                <w:sz w:val="24"/>
              </w:rPr>
              <w:t>；</w:t>
            </w:r>
            <w:r>
              <w:rPr>
                <w:rFonts w:eastAsia="仿宋_GB2312"/>
                <w:color w:val="000000"/>
                <w:kern w:val="0"/>
                <w:sz w:val="24"/>
              </w:rPr>
              <w:t>系部学生管理工作会议记录等</w:t>
            </w:r>
            <w:r>
              <w:rPr>
                <w:rFonts w:hint="eastAsia" w:eastAsia="仿宋_GB2312"/>
                <w:color w:val="000000"/>
                <w:kern w:val="0"/>
                <w:sz w:val="24"/>
              </w:rPr>
              <w:t>；</w:t>
            </w:r>
            <w:r>
              <w:rPr>
                <w:rFonts w:eastAsia="仿宋_GB2312"/>
                <w:color w:val="000000"/>
                <w:kern w:val="0"/>
                <w:sz w:val="24"/>
              </w:rPr>
              <w:t>有团学工作学期计划、总结，执行团委学生工作处计划情况</w:t>
            </w:r>
            <w:r>
              <w:rPr>
                <w:rFonts w:hint="eastAsia" w:eastAsia="仿宋_GB2312"/>
                <w:color w:val="000000"/>
                <w:kern w:val="0"/>
                <w:sz w:val="24"/>
              </w:rPr>
              <w:t>；</w:t>
            </w:r>
            <w:r>
              <w:rPr>
                <w:rFonts w:eastAsia="仿宋_GB2312"/>
                <w:color w:val="000000"/>
                <w:kern w:val="0"/>
                <w:sz w:val="24"/>
              </w:rPr>
              <w:t>开展心理健康系列活动及宣传资料</w:t>
            </w:r>
            <w:r>
              <w:rPr>
                <w:rFonts w:hint="eastAsia" w:eastAsia="仿宋_GB2312"/>
                <w:color w:val="000000"/>
                <w:kern w:val="0"/>
                <w:sz w:val="24"/>
              </w:rPr>
              <w:t>。</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vMerge w:val="continue"/>
            <w:vAlign w:val="center"/>
          </w:tcPr>
          <w:p>
            <w:pPr>
              <w:widowControl/>
              <w:adjustRightInd w:val="0"/>
              <w:snapToGrid w:val="0"/>
              <w:spacing w:line="260" w:lineRule="exact"/>
              <w:jc w:val="center"/>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9" w:hRule="atLeast"/>
          <w:jc w:val="center"/>
        </w:trPr>
        <w:tc>
          <w:tcPr>
            <w:tcW w:w="1532" w:type="dxa"/>
            <w:vMerge w:val="restart"/>
            <w:vAlign w:val="center"/>
          </w:tcPr>
          <w:p>
            <w:pPr>
              <w:adjustRightInd w:val="0"/>
              <w:snapToGrid w:val="0"/>
              <w:spacing w:line="28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3.招生就业</w:t>
            </w:r>
          </w:p>
          <w:p>
            <w:pPr>
              <w:adjustRightInd w:val="0"/>
              <w:snapToGrid w:val="0"/>
              <w:spacing w:line="2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（15分）</w:t>
            </w:r>
          </w:p>
        </w:tc>
        <w:tc>
          <w:tcPr>
            <w:tcW w:w="1701"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招生工作情况（5分）</w:t>
            </w:r>
          </w:p>
        </w:tc>
        <w:tc>
          <w:tcPr>
            <w:tcW w:w="7240" w:type="dxa"/>
            <w:vAlign w:val="center"/>
          </w:tcPr>
          <w:p>
            <w:pPr>
              <w:pStyle w:val="6"/>
              <w:spacing w:before="0" w:beforeAutospacing="0" w:after="0" w:afterAutospacing="0" w:line="280" w:lineRule="exact"/>
              <w:ind w:left="600" w:hanging="600" w:hangingChars="250"/>
              <w:jc w:val="both"/>
              <w:rPr>
                <w:rFonts w:ascii="仿宋_GB2312" w:eastAsia="仿宋_GB2312"/>
                <w:color w:val="auto"/>
              </w:rPr>
            </w:pPr>
            <w:r>
              <w:rPr>
                <w:rFonts w:ascii="Times New Roman" w:hAnsi="Times New Roman" w:eastAsia="仿宋_GB2312"/>
                <w:color w:val="auto"/>
              </w:rPr>
              <w:t>完成学院分配的高职招生</w:t>
            </w:r>
            <w:r>
              <w:rPr>
                <w:rFonts w:hint="eastAsia" w:ascii="Times New Roman" w:hAnsi="Times New Roman" w:eastAsia="仿宋_GB2312"/>
                <w:color w:val="auto"/>
              </w:rPr>
              <w:t>任务，全</w:t>
            </w:r>
            <w:r>
              <w:rPr>
                <w:rFonts w:hint="eastAsia" w:ascii="Times New Roman" w:hAnsi="Times New Roman" w:eastAsia="仿宋_GB2312"/>
                <w:color w:val="auto"/>
                <w:lang w:eastAsia="zh-CN"/>
              </w:rPr>
              <w:t>院</w:t>
            </w:r>
            <w:r>
              <w:rPr>
                <w:rFonts w:hint="eastAsia" w:ascii="Times New Roman" w:hAnsi="Times New Roman" w:eastAsia="仿宋_GB2312"/>
                <w:color w:val="auto"/>
              </w:rPr>
              <w:t>排名赋分。</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宋体" w:eastAsia="仿宋_GB2312"/>
                <w:color w:val="000000"/>
                <w:sz w:val="21"/>
                <w:szCs w:val="21"/>
                <w:lang w:val="en-US" w:eastAsia="zh-CN"/>
              </w:rPr>
            </w:pPr>
          </w:p>
        </w:tc>
        <w:tc>
          <w:tcPr>
            <w:tcW w:w="1442" w:type="dxa"/>
            <w:vMerge w:val="restart"/>
            <w:vAlign w:val="center"/>
          </w:tcPr>
          <w:p>
            <w:pPr>
              <w:widowControl/>
              <w:adjustRightInd w:val="0"/>
              <w:snapToGrid w:val="0"/>
              <w:spacing w:line="260" w:lineRule="exact"/>
              <w:jc w:val="center"/>
              <w:rPr>
                <w:rFonts w:asciiTheme="minorEastAsia" w:hAnsiTheme="minorEastAsia" w:eastAsiaTheme="minorEastAsia"/>
                <w:color w:val="000000"/>
                <w:sz w:val="24"/>
              </w:rPr>
            </w:pPr>
            <w:r>
              <w:rPr>
                <w:rFonts w:asciiTheme="minorEastAsia" w:hAnsiTheme="minorEastAsia" w:eastAsiaTheme="minorEastAsia"/>
                <w:color w:val="000000"/>
                <w:sz w:val="24"/>
              </w:rPr>
              <w:t>招生</w:t>
            </w:r>
          </w:p>
          <w:p>
            <w:pPr>
              <w:widowControl/>
              <w:adjustRightInd w:val="0"/>
              <w:snapToGrid w:val="0"/>
              <w:spacing w:line="260" w:lineRule="exact"/>
              <w:jc w:val="center"/>
              <w:rPr>
                <w:rFonts w:asciiTheme="minorEastAsia" w:hAnsiTheme="minorEastAsia" w:eastAsiaTheme="minorEastAsia"/>
                <w:color w:val="000000"/>
                <w:sz w:val="24"/>
              </w:rPr>
            </w:pPr>
            <w:r>
              <w:rPr>
                <w:rFonts w:asciiTheme="minorEastAsia" w:hAnsiTheme="minorEastAsia" w:eastAsiaTheme="minorEastAsia"/>
                <w:color w:val="000000"/>
                <w:sz w:val="24"/>
              </w:rPr>
              <w:t>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1" w:hRule="atLeast"/>
          <w:jc w:val="center"/>
        </w:trPr>
        <w:tc>
          <w:tcPr>
            <w:tcW w:w="1532" w:type="dxa"/>
            <w:vMerge w:val="continue"/>
            <w:vAlign w:val="center"/>
          </w:tcPr>
          <w:p>
            <w:pPr>
              <w:widowControl/>
              <w:adjustRightInd w:val="0"/>
              <w:snapToGrid w:val="0"/>
              <w:spacing w:line="28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就业创业情况（5分）</w:t>
            </w:r>
          </w:p>
        </w:tc>
        <w:tc>
          <w:tcPr>
            <w:tcW w:w="7240" w:type="dxa"/>
            <w:vAlign w:val="center"/>
          </w:tcPr>
          <w:p>
            <w:pPr>
              <w:spacing w:line="280" w:lineRule="exact"/>
              <w:rPr>
                <w:rFonts w:eastAsia="仿宋_GB2312"/>
                <w:color w:val="auto"/>
                <w:sz w:val="24"/>
              </w:rPr>
            </w:pPr>
            <w:r>
              <w:rPr>
                <w:rFonts w:hint="eastAsia" w:eastAsia="仿宋_GB2312"/>
                <w:color w:val="auto"/>
                <w:sz w:val="24"/>
              </w:rPr>
              <w:t>完成学校分配的就业工作任务，全</w:t>
            </w:r>
            <w:r>
              <w:rPr>
                <w:rFonts w:hint="eastAsia" w:eastAsia="仿宋_GB2312"/>
                <w:color w:val="auto"/>
                <w:sz w:val="24"/>
                <w:lang w:eastAsia="zh-CN"/>
              </w:rPr>
              <w:t>院</w:t>
            </w:r>
            <w:r>
              <w:rPr>
                <w:rFonts w:hint="eastAsia" w:eastAsia="仿宋_GB2312"/>
                <w:color w:val="auto"/>
                <w:sz w:val="24"/>
              </w:rPr>
              <w:t>排名赋分。开展创新创业工作情况，全</w:t>
            </w:r>
            <w:r>
              <w:rPr>
                <w:rFonts w:hint="eastAsia" w:eastAsia="仿宋_GB2312"/>
                <w:color w:val="auto"/>
                <w:sz w:val="24"/>
                <w:lang w:eastAsia="zh-CN"/>
              </w:rPr>
              <w:t>院</w:t>
            </w:r>
            <w:r>
              <w:rPr>
                <w:rFonts w:hint="eastAsia" w:eastAsia="仿宋_GB2312"/>
                <w:color w:val="auto"/>
                <w:sz w:val="24"/>
              </w:rPr>
              <w:t>排名赋分。</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vMerge w:val="continue"/>
            <w:vAlign w:val="center"/>
          </w:tcPr>
          <w:p>
            <w:pPr>
              <w:widowControl/>
              <w:adjustRightInd w:val="0"/>
              <w:snapToGrid w:val="0"/>
              <w:spacing w:line="260" w:lineRule="exact"/>
              <w:jc w:val="center"/>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61" w:hRule="atLeast"/>
          <w:jc w:val="center"/>
        </w:trPr>
        <w:tc>
          <w:tcPr>
            <w:tcW w:w="1532" w:type="dxa"/>
            <w:vMerge w:val="continue"/>
            <w:vAlign w:val="center"/>
          </w:tcPr>
          <w:p>
            <w:pPr>
              <w:widowControl/>
              <w:adjustRightInd w:val="0"/>
              <w:snapToGrid w:val="0"/>
              <w:spacing w:line="30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校企合作情况（5分）</w:t>
            </w:r>
          </w:p>
        </w:tc>
        <w:tc>
          <w:tcPr>
            <w:tcW w:w="7240" w:type="dxa"/>
            <w:vAlign w:val="center"/>
          </w:tcPr>
          <w:p>
            <w:pPr>
              <w:rPr>
                <w:rFonts w:ascii="仿宋_GB2312" w:eastAsia="仿宋_GB2312"/>
                <w:color w:val="auto"/>
                <w:sz w:val="24"/>
              </w:rPr>
            </w:pPr>
            <w:r>
              <w:rPr>
                <w:rFonts w:hint="eastAsia" w:ascii="仿宋_GB2312" w:eastAsia="仿宋_GB2312"/>
                <w:color w:val="auto"/>
                <w:sz w:val="24"/>
              </w:rPr>
              <w:t>各专业校企合作管理规范，档案资料齐全，开展实质性合作有成效，有工作综述和佐证材料。</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vMerge w:val="continue"/>
            <w:vAlign w:val="center"/>
          </w:tcPr>
          <w:p>
            <w:pPr>
              <w:adjustRightInd w:val="0"/>
              <w:snapToGrid w:val="0"/>
              <w:spacing w:line="300" w:lineRule="exact"/>
              <w:jc w:val="center"/>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23" w:hRule="atLeast"/>
          <w:jc w:val="center"/>
        </w:trPr>
        <w:tc>
          <w:tcPr>
            <w:tcW w:w="1532" w:type="dxa"/>
            <w:vMerge w:val="restart"/>
            <w:vAlign w:val="center"/>
          </w:tcPr>
          <w:p>
            <w:pPr>
              <w:widowControl/>
              <w:adjustRightInd w:val="0"/>
              <w:snapToGrid w:val="0"/>
              <w:spacing w:line="3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4.安全管理（10分）</w:t>
            </w:r>
          </w:p>
        </w:tc>
        <w:tc>
          <w:tcPr>
            <w:tcW w:w="170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校园安全管理</w:t>
            </w:r>
            <w:r>
              <w:rPr>
                <w:rFonts w:hint="eastAsia" w:asciiTheme="minorEastAsia" w:hAnsiTheme="minorEastAsia" w:eastAsiaTheme="minorEastAsia" w:cstheme="minorEastAsia"/>
                <w:color w:val="000000"/>
                <w:sz w:val="24"/>
                <w:szCs w:val="24"/>
              </w:rPr>
              <w:t>（6分）</w:t>
            </w:r>
          </w:p>
        </w:tc>
        <w:tc>
          <w:tcPr>
            <w:tcW w:w="7240" w:type="dxa"/>
            <w:vAlign w:val="center"/>
          </w:tcPr>
          <w:p>
            <w:pPr>
              <w:rPr>
                <w:rFonts w:ascii="仿宋_GB2312" w:eastAsia="仿宋_GB2312"/>
                <w:sz w:val="24"/>
              </w:rPr>
            </w:pPr>
            <w:r>
              <w:rPr>
                <w:rFonts w:hint="eastAsia" w:ascii="仿宋_GB2312" w:eastAsia="仿宋_GB2312"/>
                <w:sz w:val="24"/>
              </w:rPr>
              <w:t>制度健全、责任明确，信息渠道畅通，无稳定安全责任事故。落实安全宣传、消防演练、校园欺凌治理、禁毒和预防艾滋病教育、生命观教育。</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vAlign w:val="center"/>
          </w:tcPr>
          <w:p>
            <w:pPr>
              <w:adjustRightInd w:val="0"/>
              <w:snapToGrid w:val="0"/>
              <w:spacing w:line="300" w:lineRule="exact"/>
              <w:jc w:val="center"/>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安</w:t>
            </w:r>
            <w:r>
              <w:rPr>
                <w:rFonts w:hint="eastAsia" w:asciiTheme="minorEastAsia" w:hAnsiTheme="minorEastAsia" w:eastAsiaTheme="minorEastAsia"/>
                <w:color w:val="000000"/>
                <w:sz w:val="24"/>
                <w:lang w:val="en-US" w:eastAsia="zh-CN"/>
              </w:rPr>
              <w:t>全</w:t>
            </w:r>
          </w:p>
          <w:p>
            <w:pPr>
              <w:adjustRightInd w:val="0"/>
              <w:snapToGrid w:val="0"/>
              <w:spacing w:line="3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保</w:t>
            </w:r>
            <w:r>
              <w:rPr>
                <w:rFonts w:hint="eastAsia" w:asciiTheme="minorEastAsia" w:hAnsiTheme="minorEastAsia" w:eastAsiaTheme="minorEastAsia"/>
                <w:color w:val="000000"/>
                <w:sz w:val="24"/>
                <w:lang w:val="en-US" w:eastAsia="zh-CN"/>
              </w:rPr>
              <w:t>卫</w:t>
            </w:r>
            <w:r>
              <w:rPr>
                <w:rFonts w:hint="eastAsia" w:asciiTheme="minorEastAsia" w:hAnsiTheme="minorEastAsia" w:eastAsiaTheme="minorEastAsia"/>
                <w:color w:val="000000"/>
                <w:sz w:val="24"/>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14" w:hRule="atLeast"/>
          <w:jc w:val="center"/>
        </w:trPr>
        <w:tc>
          <w:tcPr>
            <w:tcW w:w="1532" w:type="dxa"/>
            <w:vMerge w:val="continue"/>
            <w:vAlign w:val="center"/>
          </w:tcPr>
          <w:p>
            <w:pPr>
              <w:widowControl/>
              <w:adjustRightInd w:val="0"/>
              <w:snapToGrid w:val="0"/>
              <w:spacing w:line="30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校园疫情防控</w:t>
            </w:r>
            <w:r>
              <w:rPr>
                <w:rFonts w:hint="eastAsia" w:asciiTheme="minorEastAsia" w:hAnsiTheme="minorEastAsia" w:eastAsiaTheme="minorEastAsia" w:cstheme="minorEastAsia"/>
                <w:color w:val="000000"/>
                <w:sz w:val="24"/>
                <w:szCs w:val="24"/>
              </w:rPr>
              <w:t>（4分）</w:t>
            </w:r>
          </w:p>
        </w:tc>
        <w:tc>
          <w:tcPr>
            <w:tcW w:w="7240" w:type="dxa"/>
            <w:vAlign w:val="center"/>
          </w:tcPr>
          <w:p>
            <w:pPr>
              <w:rPr>
                <w:rFonts w:ascii="仿宋_GB2312" w:eastAsia="仿宋_GB2312"/>
                <w:sz w:val="24"/>
              </w:rPr>
            </w:pPr>
            <w:r>
              <w:rPr>
                <w:rFonts w:hint="eastAsia" w:ascii="仿宋_GB2312" w:eastAsia="仿宋_GB2312"/>
                <w:sz w:val="24"/>
              </w:rPr>
              <w:t>认真落实疫情防控要求，守护师生生命健康，确保校园安全，按照学院统一部署及时组织学生开学返校，全面恢复教育教学秩序，加强常态化防控。。</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vAlign w:val="center"/>
          </w:tcPr>
          <w:p>
            <w:pPr>
              <w:adjustRightInd w:val="0"/>
              <w:snapToGrid w:val="0"/>
              <w:spacing w:line="3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78" w:hRule="atLeast"/>
          <w:jc w:val="center"/>
        </w:trPr>
        <w:tc>
          <w:tcPr>
            <w:tcW w:w="1532" w:type="dxa"/>
            <w:vMerge w:val="restart"/>
            <w:vAlign w:val="center"/>
          </w:tcPr>
          <w:p>
            <w:pPr>
              <w:widowControl/>
              <w:adjustRightInd w:val="0"/>
              <w:snapToGrid w:val="0"/>
              <w:spacing w:line="30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300" w:lineRule="exact"/>
              <w:jc w:val="center"/>
              <w:rPr>
                <w:rFonts w:hint="eastAsia" w:asciiTheme="minorEastAsia" w:hAnsiTheme="minorEastAsia" w:eastAsiaTheme="minorEastAsia" w:cstheme="minorEastAsia"/>
                <w:color w:val="000000"/>
                <w:sz w:val="24"/>
                <w:szCs w:val="24"/>
              </w:rPr>
            </w:pPr>
          </w:p>
          <w:p>
            <w:pPr>
              <w:widowControl/>
              <w:adjustRightInd w:val="0"/>
              <w:snapToGrid w:val="0"/>
              <w:spacing w:line="30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5.内部治理</w:t>
            </w:r>
            <w:r>
              <w:rPr>
                <w:rFonts w:hint="eastAsia" w:asciiTheme="minorEastAsia" w:hAnsiTheme="minorEastAsia" w:eastAsiaTheme="minorEastAsia" w:cstheme="minorEastAsia"/>
                <w:sz w:val="24"/>
                <w:szCs w:val="24"/>
              </w:rPr>
              <w:t>（15分）</w:t>
            </w:r>
          </w:p>
          <w:p>
            <w:pPr>
              <w:widowControl/>
              <w:adjustRightInd w:val="0"/>
              <w:snapToGrid w:val="0"/>
              <w:spacing w:line="300" w:lineRule="exact"/>
              <w:jc w:val="cente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sz w:val="24"/>
                <w:szCs w:val="24"/>
              </w:rPr>
            </w:pPr>
          </w:p>
        </w:tc>
        <w:tc>
          <w:tcPr>
            <w:tcW w:w="170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部门行政管理</w:t>
            </w:r>
            <w:r>
              <w:rPr>
                <w:rFonts w:hint="eastAsia" w:asciiTheme="minorEastAsia" w:hAnsiTheme="minorEastAsia" w:eastAsiaTheme="minorEastAsia" w:cstheme="minorEastAsia"/>
                <w:color w:val="000000"/>
                <w:sz w:val="24"/>
                <w:szCs w:val="24"/>
              </w:rPr>
              <w:t>（5分）</w:t>
            </w:r>
          </w:p>
        </w:tc>
        <w:tc>
          <w:tcPr>
            <w:tcW w:w="7240" w:type="dxa"/>
            <w:vAlign w:val="center"/>
          </w:tcPr>
          <w:p>
            <w:pPr>
              <w:rPr>
                <w:rFonts w:ascii="仿宋_GB2312" w:eastAsia="仿宋_GB2312"/>
                <w:sz w:val="24"/>
              </w:rPr>
            </w:pPr>
            <w:r>
              <w:rPr>
                <w:rFonts w:hint="eastAsia" w:ascii="仿宋_GB2312" w:eastAsia="仿宋_GB2312"/>
                <w:sz w:val="24"/>
              </w:rPr>
              <w:t>部门工作思路清晰，有计划、总结、有专项发展规划；岗位职责明确，工作分工合理，工作流程顺畅；执行档案管理制度，移交档案规范完整及时；</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vAlign w:val="center"/>
          </w:tcPr>
          <w:p>
            <w:pPr>
              <w:adjustRightInd w:val="0"/>
              <w:snapToGrid w:val="0"/>
              <w:spacing w:line="3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89" w:hRule="atLeast"/>
          <w:jc w:val="center"/>
        </w:trPr>
        <w:tc>
          <w:tcPr>
            <w:tcW w:w="1532" w:type="dxa"/>
            <w:vMerge w:val="continue"/>
            <w:vAlign w:val="center"/>
          </w:tcPr>
          <w:p>
            <w:pPr>
              <w:adjustRightInd w:val="0"/>
              <w:snapToGrid w:val="0"/>
              <w:spacing w:line="30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预算绩效管理</w:t>
            </w:r>
            <w:r>
              <w:rPr>
                <w:rFonts w:hint="eastAsia" w:asciiTheme="minorEastAsia" w:hAnsiTheme="minorEastAsia" w:eastAsiaTheme="minorEastAsia" w:cstheme="minorEastAsia"/>
                <w:color w:val="000000"/>
                <w:sz w:val="24"/>
                <w:szCs w:val="24"/>
              </w:rPr>
              <w:t>（5分）</w:t>
            </w:r>
          </w:p>
        </w:tc>
        <w:tc>
          <w:tcPr>
            <w:tcW w:w="7240" w:type="dxa"/>
            <w:vAlign w:val="center"/>
          </w:tcPr>
          <w:p>
            <w:pPr>
              <w:jc w:val="left"/>
              <w:rPr>
                <w:rFonts w:ascii="仿宋_GB2312" w:eastAsia="仿宋_GB2312"/>
                <w:sz w:val="24"/>
              </w:rPr>
            </w:pPr>
            <w:r>
              <w:rPr>
                <w:rFonts w:hint="eastAsia" w:ascii="仿宋_GB2312" w:eastAsia="仿宋_GB2312"/>
                <w:sz w:val="24"/>
              </w:rPr>
              <w:t>执行学院财务预算管理制度，办学经费支出科学合理。有兼职资产管理员，档案齐全，帐卡物相；注重办公设施、设备的维修维护，报废及时。</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tcPr>
          <w:p>
            <w:pPr>
              <w:jc w:val="center"/>
              <w:rPr>
                <w:rFonts w:asciiTheme="minorEastAsia" w:hAnsiTheme="minorEastAsia" w:eastAsiaTheme="minorEastAsia"/>
                <w:sz w:val="24"/>
              </w:rPr>
            </w:pPr>
          </w:p>
          <w:p>
            <w:pPr>
              <w:jc w:val="center"/>
              <w:rPr>
                <w:rFonts w:asciiTheme="minorEastAsia" w:hAnsiTheme="minorEastAsia" w:eastAsiaTheme="minorEastAsia"/>
                <w:sz w:val="24"/>
              </w:rPr>
            </w:pPr>
            <w:r>
              <w:rPr>
                <w:rFonts w:hint="eastAsia" w:asciiTheme="minorEastAsia" w:hAnsiTheme="minorEastAsia" w:eastAsiaTheme="minorEastAsia"/>
                <w:sz w:val="24"/>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2" w:hRule="atLeast"/>
          <w:jc w:val="center"/>
        </w:trPr>
        <w:tc>
          <w:tcPr>
            <w:tcW w:w="1532" w:type="dxa"/>
            <w:vMerge w:val="continue"/>
            <w:vAlign w:val="center"/>
          </w:tcPr>
          <w:p>
            <w:pPr>
              <w:adjustRightInd w:val="0"/>
              <w:snapToGrid w:val="0"/>
              <w:spacing w:line="300" w:lineRule="exact"/>
              <w:jc w:val="center"/>
              <w:rPr>
                <w:rFonts w:hint="eastAsia" w:asciiTheme="minorEastAsia" w:hAnsiTheme="minorEastAsia" w:eastAsiaTheme="minorEastAsia" w:cstheme="minorEastAsia"/>
                <w:color w:val="000000"/>
                <w:sz w:val="24"/>
                <w:szCs w:val="24"/>
              </w:rPr>
            </w:pPr>
          </w:p>
        </w:tc>
        <w:tc>
          <w:tcPr>
            <w:tcW w:w="1701"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数据年报管理</w:t>
            </w:r>
            <w:r>
              <w:rPr>
                <w:rFonts w:hint="eastAsia" w:asciiTheme="minorEastAsia" w:hAnsiTheme="minorEastAsia" w:eastAsiaTheme="minorEastAsia" w:cstheme="minorEastAsia"/>
                <w:color w:val="000000"/>
                <w:sz w:val="24"/>
                <w:szCs w:val="24"/>
              </w:rPr>
              <w:t>（5分）</w:t>
            </w:r>
          </w:p>
        </w:tc>
        <w:tc>
          <w:tcPr>
            <w:tcW w:w="7240" w:type="dxa"/>
            <w:vAlign w:val="center"/>
          </w:tcPr>
          <w:p>
            <w:pPr>
              <w:rPr>
                <w:sz w:val="24"/>
              </w:rPr>
            </w:pPr>
            <w:r>
              <w:rPr>
                <w:rFonts w:hint="eastAsia" w:ascii="仿宋_GB2312" w:hAnsi="宋体" w:eastAsia="仿宋_GB2312"/>
                <w:color w:val="000000"/>
                <w:sz w:val="24"/>
              </w:rPr>
              <w:t>人才培养工作状态数据采集、数据分析报告、年度质量报告完成情况。</w:t>
            </w:r>
          </w:p>
        </w:tc>
        <w:tc>
          <w:tcPr>
            <w:tcW w:w="209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1"/>
                <w:szCs w:val="21"/>
                <w:lang w:val="en-US" w:eastAsia="zh-CN"/>
              </w:rPr>
            </w:pPr>
          </w:p>
        </w:tc>
        <w:tc>
          <w:tcPr>
            <w:tcW w:w="1442" w:type="dxa"/>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教学</w:t>
            </w:r>
          </w:p>
          <w:p>
            <w:pPr>
              <w:jc w:val="center"/>
              <w:rPr>
                <w:rFonts w:asciiTheme="minorEastAsia" w:hAnsiTheme="minorEastAsia" w:eastAsiaTheme="minorEastAsia"/>
                <w:sz w:val="24"/>
              </w:rPr>
            </w:pPr>
            <w:r>
              <w:rPr>
                <w:rFonts w:hint="eastAsia" w:asciiTheme="minorEastAsia" w:hAnsiTheme="minorEastAsia" w:eastAsiaTheme="minorEastAsia"/>
                <w:sz w:val="24"/>
              </w:rPr>
              <w:t>督导室</w:t>
            </w:r>
          </w:p>
        </w:tc>
      </w:tr>
    </w:tbl>
    <w:p>
      <w:pPr>
        <w:pStyle w:val="3"/>
        <w:spacing w:line="500" w:lineRule="exact"/>
        <w:rPr>
          <w:rFonts w:hint="eastAsia" w:ascii="黑体" w:hAnsi="黑体" w:eastAsia="黑体" w:cs="方正小标宋简体"/>
          <w:color w:val="auto"/>
        </w:rPr>
        <w:sectPr>
          <w:pgSz w:w="16838" w:h="11906" w:orient="landscape"/>
          <w:pgMar w:top="1077" w:right="1440" w:bottom="1077" w:left="1440" w:header="851" w:footer="992" w:gutter="0"/>
          <w:pgNumType w:fmt="numberInDash"/>
          <w:cols w:space="425" w:num="1"/>
          <w:docGrid w:type="lines" w:linePitch="312" w:charSpace="0"/>
        </w:sectPr>
      </w:pPr>
    </w:p>
    <w:p>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黑体" w:hAnsi="黑体" w:eastAsia="黑体" w:cs="方正小标宋简体"/>
          <w:color w:val="auto"/>
        </w:rPr>
      </w:pPr>
      <w:r>
        <w:rPr>
          <w:rFonts w:hint="eastAsia" w:ascii="黑体" w:hAnsi="黑体" w:eastAsia="黑体" w:cs="方正小标宋简体"/>
          <w:color w:val="auto"/>
        </w:rPr>
        <w:t>附件3</w:t>
      </w:r>
    </w:p>
    <w:p>
      <w:pPr>
        <w:pStyle w:val="3"/>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教学部门办学质量考核指标</w:t>
      </w:r>
    </w:p>
    <w:p>
      <w:pPr>
        <w:pStyle w:val="3"/>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13"/>
        <w:tblW w:w="13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2" w:type="dxa"/>
          <w:left w:w="57" w:type="dxa"/>
          <w:bottom w:w="142" w:type="dxa"/>
          <w:right w:w="57" w:type="dxa"/>
        </w:tblCellMar>
      </w:tblPr>
      <w:tblGrid>
        <w:gridCol w:w="1411"/>
        <w:gridCol w:w="1925"/>
        <w:gridCol w:w="748"/>
        <w:gridCol w:w="5330"/>
        <w:gridCol w:w="2825"/>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tblHeader/>
          <w:jc w:val="center"/>
        </w:trPr>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一级指标</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二级指标</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指标性质</w:t>
            </w:r>
          </w:p>
        </w:tc>
        <w:tc>
          <w:tcPr>
            <w:tcW w:w="533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指标说明</w:t>
            </w:r>
          </w:p>
        </w:tc>
        <w:tc>
          <w:tcPr>
            <w:tcW w:w="282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计分办法</w:t>
            </w:r>
          </w:p>
        </w:tc>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考核部门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1.人才培养</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（25分）</w:t>
            </w:r>
          </w:p>
        </w:tc>
        <w:tc>
          <w:tcPr>
            <w:tcW w:w="1925" w:type="dxa"/>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立德树人</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（6分）</w:t>
            </w:r>
          </w:p>
        </w:tc>
        <w:tc>
          <w:tcPr>
            <w:tcW w:w="748"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定量定性结合</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计算与评价办法：思想政治理论课学时达标率=思想政治理论课实际开课学时数/规定学时</w:t>
            </w:r>
            <w:r>
              <w:rPr>
                <w:rFonts w:ascii="Arial" w:hAnsi="Arial" w:eastAsia="Times New Roman" w:cs="Arial"/>
                <w:color w:val="333333"/>
                <w:sz w:val="24"/>
                <w:shd w:val="clear" w:color="auto" w:fill="FFFFFF"/>
              </w:rPr>
              <w:t>×</w:t>
            </w:r>
            <w:r>
              <w:rPr>
                <w:rFonts w:hint="eastAsia" w:ascii="仿宋_GB2312" w:eastAsia="仿宋_GB2312" w:hAnsiTheme="minorEastAsia" w:cstheme="minorBidi"/>
                <w:color w:val="000000" w:themeColor="text1"/>
                <w:sz w:val="24"/>
                <w14:textFill>
                  <w14:solidFill>
                    <w14:schemeClr w14:val="tx1"/>
                  </w14:solidFill>
                </w14:textFill>
              </w:rPr>
              <w:t>100%。</w:t>
            </w:r>
          </w:p>
        </w:tc>
        <w:tc>
          <w:tcPr>
            <w:tcW w:w="2825" w:type="dxa"/>
            <w:tcBorders>
              <w:top w:val="single" w:color="auto" w:sz="4" w:space="0"/>
              <w:left w:val="single" w:color="auto" w:sz="4" w:space="0"/>
              <w:bottom w:val="single" w:color="auto" w:sz="4" w:space="0"/>
              <w:right w:val="single" w:color="auto" w:sz="4" w:space="0"/>
            </w:tcBorders>
            <w:vAlign w:val="center"/>
          </w:tcPr>
          <w:p>
            <w:pPr>
              <w:pStyle w:val="14"/>
              <w:numPr>
                <w:ilvl w:val="0"/>
                <w:numId w:val="0"/>
              </w:numPr>
              <w:ind w:leftChars="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达标率2分，全院排序赋分。</w:t>
            </w:r>
          </w:p>
        </w:tc>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思政部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continue"/>
            <w:tcBorders>
              <w:left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vMerge w:val="continue"/>
            <w:tcBorders>
              <w:left w:val="single" w:color="auto" w:sz="4" w:space="0"/>
              <w:right w:val="single" w:color="auto"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748" w:type="dxa"/>
            <w:vMerge w:val="continue"/>
            <w:tcBorders>
              <w:left w:val="single" w:color="auto" w:sz="4" w:space="0"/>
              <w:right w:val="single" w:color="auto" w:sz="4" w:space="0"/>
            </w:tcBorders>
            <w:vAlign w:val="center"/>
          </w:tcPr>
          <w:p>
            <w:pPr>
              <w:widowControl/>
              <w:rPr>
                <w:rFonts w:ascii="仿宋_GB2312" w:eastAsia="仿宋_GB2312" w:cs="Arial Unicode MS" w:hAnsiTheme="minorEastAsia"/>
                <w:color w:val="000000" w:themeColor="text1"/>
                <w:sz w:val="24"/>
                <w:lang w:val="zh-CN" w:bidi="zh-CN"/>
                <w14:textFill>
                  <w14:solidFill>
                    <w14:schemeClr w14:val="tx1"/>
                  </w14:solidFill>
                </w14:textFill>
              </w:rPr>
            </w:pPr>
          </w:p>
        </w:tc>
        <w:tc>
          <w:tcPr>
            <w:tcW w:w="5330" w:type="dxa"/>
            <w:tcBorders>
              <w:top w:val="single" w:color="auto" w:sz="4" w:space="0"/>
              <w:left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提供课程思政、专业育人落实推进情况及成效材料，综合评价。</w:t>
            </w:r>
          </w:p>
        </w:tc>
        <w:tc>
          <w:tcPr>
            <w:tcW w:w="2825" w:type="dxa"/>
            <w:tcBorders>
              <w:top w:val="single" w:color="auto" w:sz="4" w:space="0"/>
              <w:left w:val="single" w:color="auto" w:sz="4" w:space="0"/>
              <w:bottom w:val="single" w:color="auto" w:sz="4" w:space="0"/>
              <w:right w:val="single" w:color="auto" w:sz="4" w:space="0"/>
            </w:tcBorders>
            <w:vAlign w:val="center"/>
          </w:tcPr>
          <w:p>
            <w:pPr>
              <w:pStyle w:val="14"/>
              <w:numPr>
                <w:ilvl w:val="0"/>
                <w:numId w:val="0"/>
              </w:numPr>
              <w:ind w:leftChars="0"/>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成效2分，全院分档赋分。</w:t>
            </w:r>
          </w:p>
        </w:tc>
        <w:tc>
          <w:tcPr>
            <w:tcW w:w="1736"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教务处</w:t>
            </w:r>
          </w:p>
          <w:p>
            <w:pPr>
              <w:jc w:val="center"/>
              <w:rPr>
                <w:rFonts w:asciiTheme="minorEastAsia" w:hAnsiTheme="minorEastAsia" w:eastAsiaTheme="minorEastAsia" w:cstheme="minorBid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continue"/>
            <w:tcBorders>
              <w:left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vMerge w:val="continue"/>
            <w:tcBorders>
              <w:left w:val="single" w:color="auto" w:sz="4" w:space="0"/>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748" w:type="dxa"/>
            <w:vMerge w:val="continue"/>
            <w:tcBorders>
              <w:left w:val="single" w:color="auto" w:sz="4" w:space="0"/>
              <w:bottom w:val="single" w:color="auto" w:sz="4" w:space="0"/>
              <w:right w:val="single" w:color="auto" w:sz="4" w:space="0"/>
            </w:tcBorders>
            <w:vAlign w:val="center"/>
          </w:tcPr>
          <w:p>
            <w:pPr>
              <w:widowControl/>
              <w:rPr>
                <w:rFonts w:ascii="仿宋_GB2312" w:eastAsia="仿宋_GB2312" w:cs="Arial Unicode MS" w:hAnsiTheme="minorEastAsia"/>
                <w:color w:val="000000" w:themeColor="text1"/>
                <w:sz w:val="24"/>
                <w:lang w:val="zh-CN" w:bidi="zh-CN"/>
                <w14:textFill>
                  <w14:solidFill>
                    <w14:schemeClr w14:val="tx1"/>
                  </w14:solidFill>
                </w14:textFill>
              </w:rPr>
            </w:pPr>
          </w:p>
        </w:tc>
        <w:tc>
          <w:tcPr>
            <w:tcW w:w="5330" w:type="dxa"/>
            <w:tcBorders>
              <w:left w:val="single" w:color="auto" w:sz="4" w:space="0"/>
              <w:bottom w:val="single" w:color="auto" w:sz="4" w:space="0"/>
              <w:right w:val="single" w:color="auto" w:sz="4" w:space="0"/>
            </w:tcBorders>
            <w:vAlign w:val="center"/>
          </w:tcPr>
          <w:p>
            <w:pPr>
              <w:pStyle w:val="14"/>
              <w:numPr>
                <w:ilvl w:val="0"/>
                <w:numId w:val="0"/>
              </w:numPr>
              <w:ind w:leftChars="0"/>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“三全育人”落实推进情况及成效材料，综合评价。</w:t>
            </w:r>
          </w:p>
        </w:tc>
        <w:tc>
          <w:tcPr>
            <w:tcW w:w="2825" w:type="dxa"/>
            <w:tcBorders>
              <w:top w:val="single" w:color="auto" w:sz="4" w:space="0"/>
              <w:left w:val="single" w:color="auto" w:sz="4" w:space="0"/>
              <w:bottom w:val="single" w:color="auto" w:sz="4" w:space="0"/>
              <w:right w:val="single" w:color="auto" w:sz="4" w:space="0"/>
            </w:tcBorders>
            <w:vAlign w:val="center"/>
          </w:tcPr>
          <w:p>
            <w:pPr>
              <w:pStyle w:val="14"/>
              <w:numPr>
                <w:ilvl w:val="0"/>
                <w:numId w:val="0"/>
              </w:numPr>
              <w:ind w:leftChars="0"/>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成效2分，全院分档赋分。</w:t>
            </w:r>
          </w:p>
        </w:tc>
        <w:tc>
          <w:tcPr>
            <w:tcW w:w="1736"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Bidi"/>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4"/>
                <w:lang w:val="en-US" w:eastAsia="zh-CN"/>
                <w14:textFill>
                  <w14:solidFill>
                    <w14:schemeClr w14:val="tx1"/>
                  </w14:solidFill>
                </w14:textFill>
              </w:rPr>
              <w:t>团委</w:t>
            </w:r>
          </w:p>
          <w:p>
            <w:pPr>
              <w:jc w:val="center"/>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学生工作处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continue"/>
            <w:tcBorders>
              <w:left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证书获取比例</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计算方法：当年毕业生获取职业资格证书、职业技能等级证书人数/毕业生总数</w:t>
            </w:r>
            <w:r>
              <w:rPr>
                <w:rFonts w:ascii="Arial" w:hAnsi="Arial" w:eastAsia="Times New Roman" w:cs="Arial"/>
                <w:color w:val="333333"/>
                <w:sz w:val="24"/>
                <w:shd w:val="clear" w:color="auto" w:fill="FFFFFF"/>
              </w:rPr>
              <w:t>×</w:t>
            </w:r>
            <w:r>
              <w:rPr>
                <w:rFonts w:hint="eastAsia" w:ascii="仿宋_GB2312" w:eastAsia="仿宋_GB2312" w:hAnsiTheme="minorEastAsia" w:cstheme="minorBidi"/>
                <w:color w:val="000000" w:themeColor="text1"/>
                <w:sz w:val="24"/>
                <w14:textFill>
                  <w14:solidFill>
                    <w14:schemeClr w14:val="tx1"/>
                  </w14:solidFill>
                </w14:textFill>
              </w:rPr>
              <w:t>100%。提供本系证书汇总表、证书扫描件等佐证材料。</w:t>
            </w:r>
          </w:p>
        </w:tc>
        <w:tc>
          <w:tcPr>
            <w:tcW w:w="2825"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全院排序赋分。</w:t>
            </w:r>
          </w:p>
        </w:tc>
        <w:tc>
          <w:tcPr>
            <w:tcW w:w="1736"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lang w:val="zh-CN"/>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continue"/>
            <w:tcBorders>
              <w:left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学生技能</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大赛获奖</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计算方法：当年生均获得全省、全国职业院校技能大赛奖励分值，及较上年的增幅。省级、国家级一二三等奖分别计5、3、2分，10、7、5分。同一项目，按最高奖次赋分。</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当年值、增幅各占分值60%、40%；如增幅为0或负数，则增幅分为0。全院排序赋分。</w:t>
            </w:r>
          </w:p>
        </w:tc>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bCs/>
                <w:color w:val="000000" w:themeColor="text1"/>
                <w:sz w:val="24"/>
                <w14:textFill>
                  <w14:solidFill>
                    <w14:schemeClr w14:val="tx1"/>
                  </w14:solidFill>
                </w14:textFill>
              </w:rPr>
              <w:t>实验实训中心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就业质量</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计算方法：毕业生毕业半年后就业率、创业率及平均薪酬；毕业生满意度、用人单位对毕业生满意度调查结果。提供毕业生就业名单等佐证材料</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就业率2分、创业率1分、薪酬2分；满意度2分。全院排序赋分。</w:t>
            </w:r>
          </w:p>
        </w:tc>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bCs/>
                <w:color w:val="000000" w:themeColor="text1"/>
                <w:sz w:val="24"/>
                <w14:textFill>
                  <w14:solidFill>
                    <w14:schemeClr w14:val="tx1"/>
                  </w14:solidFill>
                </w14:textFill>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2.产教融合</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（25分）</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专业与区域产业匹配度（6分）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定性</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评价办法：提供当年招生专业与区域产业匹配度材料，综合评价。</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全院分档赋分。</w:t>
            </w:r>
          </w:p>
        </w:tc>
        <w:tc>
          <w:tcPr>
            <w:tcW w:w="1736"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bCs/>
                <w:color w:val="000000" w:themeColor="text1"/>
                <w:sz w:val="24"/>
                <w14:textFill>
                  <w14:solidFill>
                    <w14:schemeClr w14:val="tx1"/>
                  </w14:solidFill>
                </w14:textFill>
              </w:rPr>
              <w:t>招生就业处</w:t>
            </w:r>
          </w:p>
          <w:p>
            <w:pPr>
              <w:jc w:val="center"/>
              <w:rPr>
                <w:rFonts w:asciiTheme="minorEastAsia" w:hAnsiTheme="minorEastAsia" w:eastAsiaTheme="minorEastAsia" w:cstheme="minorBid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生均共建共享生产性实训基地工位数（6分）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计算方法：校企共建共享生产性实训基地工位数/在校生总数。</w:t>
            </w:r>
          </w:p>
          <w:p>
            <w:pPr>
              <w:rPr>
                <w:rFonts w:ascii="仿宋_GB2312" w:eastAsia="仿宋_GB2312" w:hAnsiTheme="minorEastAsia" w:cstheme="minorBidi"/>
                <w:color w:val="000000" w:themeColor="text1"/>
                <w:sz w:val="24"/>
                <w14:textFill>
                  <w14:solidFill>
                    <w14:schemeClr w14:val="tx1"/>
                  </w14:solidFill>
                </w14:textFill>
              </w:rPr>
            </w:pP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全院排序赋分。</w:t>
            </w:r>
          </w:p>
        </w:tc>
        <w:tc>
          <w:tcPr>
            <w:tcW w:w="1736" w:type="dxa"/>
            <w:vMerge w:val="continue"/>
            <w:tcBorders>
              <w:left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混合所有制办学</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定性</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评价办法：提供混合所有制办学（二级学院、专业、生产性实训基地、机构或项目等）支撑材料，综合评价。</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全院分档赋分。</w:t>
            </w:r>
          </w:p>
        </w:tc>
        <w:tc>
          <w:tcPr>
            <w:tcW w:w="1736" w:type="dxa"/>
            <w:vMerge w:val="continue"/>
            <w:tcBorders>
              <w:left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校企合作培养</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计算方法：订单培养、学徒培养、合作企业（含事业单位等）接收实习学生数/在校生总数</w:t>
            </w:r>
            <w:r>
              <w:rPr>
                <w:rFonts w:ascii="Arial" w:hAnsi="Arial" w:eastAsia="Times New Roman" w:cs="Arial"/>
                <w:color w:val="000000" w:themeColor="text1"/>
                <w:sz w:val="24"/>
                <w:shd w:val="clear" w:color="auto" w:fill="FFFFFF"/>
                <w14:textFill>
                  <w14:solidFill>
                    <w14:schemeClr w14:val="tx1"/>
                  </w14:solidFill>
                </w14:textFill>
              </w:rPr>
              <w:t>×</w:t>
            </w:r>
            <w:r>
              <w:rPr>
                <w:rFonts w:hint="eastAsia" w:ascii="仿宋_GB2312" w:eastAsia="仿宋_GB2312" w:hAnsiTheme="minorEastAsia" w:cstheme="minorBidi"/>
                <w:color w:val="000000" w:themeColor="text1"/>
                <w:sz w:val="24"/>
                <w14:textFill>
                  <w14:solidFill>
                    <w14:schemeClr w14:val="tx1"/>
                  </w14:solidFill>
                </w14:textFill>
              </w:rPr>
              <w:t>100%；校企合作开发课程数与教材数的，提供课程与教材的佐证材料</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订单培养、学徒培养、合作企业（含事业单位等） 接收实习学生4分，校企合作开发课程与教材数3分。全院排序赋分。</w:t>
            </w:r>
          </w:p>
        </w:tc>
        <w:tc>
          <w:tcPr>
            <w:tcW w:w="1736"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3.师资队伍（25分）</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“双师型”教师占比</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计算方法：持证教师数/专业课教师总数</w:t>
            </w:r>
            <w:r>
              <w:rPr>
                <w:rFonts w:ascii="Arial" w:hAnsi="Arial" w:eastAsia="Times New Roman" w:cs="Arial"/>
                <w:color w:val="333333"/>
                <w:sz w:val="24"/>
                <w:shd w:val="clear" w:color="auto" w:fill="FFFFFF"/>
              </w:rPr>
              <w:t>×</w:t>
            </w:r>
            <w:r>
              <w:rPr>
                <w:rFonts w:hint="eastAsia" w:ascii="仿宋_GB2312" w:eastAsia="仿宋_GB2312" w:hAnsiTheme="minorEastAsia" w:cstheme="minorBidi"/>
                <w:color w:val="000000" w:themeColor="text1"/>
                <w:sz w:val="24"/>
                <w14:textFill>
                  <w14:solidFill>
                    <w14:schemeClr w14:val="tx1"/>
                  </w14:solidFill>
                </w14:textFill>
              </w:rPr>
              <w:t>100%。只考核持证“双师型”教师数，证书指本专业中级（或以上）技术职称及职业资格证书（含行业特许的资格证书及具有专业资格或专业技能考评员资格者，以及行业公认的证书）。</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全院按60%、50%、40%、30%、低于 30%分档赋分。</w:t>
            </w:r>
          </w:p>
        </w:tc>
        <w:tc>
          <w:tcPr>
            <w:tcW w:w="1736"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组织人事部</w:t>
            </w:r>
          </w:p>
          <w:p>
            <w:pPr>
              <w:jc w:val="center"/>
              <w:rPr>
                <w:rFonts w:asciiTheme="minorEastAsia" w:hAnsiTheme="minorEastAsia" w:eastAsiaTheme="minorEastAsia" w:cstheme="minorBid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教师教学创新团队、教学名师数</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计算方法：省级及以上教师教学创新团队、青创人才团队、技能大师工作室数量；省级及以上教学名师（含青年技能名师、名师工作室主持人、技艺技能传承创新平台主持人）数量/教师总数。</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省级教学创新团队1分、省级教学名师1分；国家级2倍权重。</w:t>
            </w:r>
          </w:p>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全院排序赋分。</w:t>
            </w:r>
          </w:p>
        </w:tc>
        <w:tc>
          <w:tcPr>
            <w:tcW w:w="1736" w:type="dxa"/>
            <w:tcBorders>
              <w:left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3.师资队伍（25分）</w:t>
            </w:r>
          </w:p>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首席技师等高层次技术技能人才聘用数</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计算方法：首席技师、省技术能手等高层次技术技能人才聘用数/教师总数。国家级2倍权重。</w:t>
            </w:r>
          </w:p>
          <w:p>
            <w:pPr>
              <w:rPr>
                <w:rFonts w:ascii="仿宋_GB2312" w:eastAsia="仿宋_GB2312" w:hAnsiTheme="minorEastAsia" w:cstheme="minorBidi"/>
                <w:color w:val="000000" w:themeColor="text1"/>
                <w:sz w:val="24"/>
                <w14:textFill>
                  <w14:solidFill>
                    <w14:schemeClr w14:val="tx1"/>
                  </w14:solidFill>
                </w14:textFill>
              </w:rPr>
            </w:pP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当年值、增幅各占分值60%、40%；如增幅为0或负数，则增幅分为0。全院排序赋分。</w:t>
            </w:r>
          </w:p>
        </w:tc>
        <w:tc>
          <w:tcPr>
            <w:tcW w:w="1736" w:type="dxa"/>
            <w:tcBorders>
              <w:left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教师评价与激励</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定性</w:t>
            </w:r>
          </w:p>
        </w:tc>
        <w:tc>
          <w:tcPr>
            <w:tcW w:w="5330"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hAnsiTheme="minorEastAsia" w:cstheme="minorBidi"/>
                <w:color w:val="000000" w:themeColor="text1"/>
                <w:sz w:val="24"/>
                <w14:textFill>
                  <w14:solidFill>
                    <w14:schemeClr w14:val="tx1"/>
                  </w14:solidFill>
                </w14:textFill>
              </w:rPr>
              <w:t>评价办法：提供破“五唯”情况，高水平、高贡献人才平均收入与学校领导班子成员平均收入比较情况材料，综合评价。</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全院分档赋分。</w:t>
            </w:r>
          </w:p>
        </w:tc>
        <w:tc>
          <w:tcPr>
            <w:tcW w:w="1736"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Bidi"/>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4.社会服务（10分）</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技术服务、培训及专利转化到款额</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计算方法：当年技术服务、承担的各类培训及专利转化到款额/ 教师总数，及较上年的增幅。</w:t>
            </w:r>
          </w:p>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培训到款额、技术服务到款额各4分、专利转化到款额2分。</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eastAsia="仿宋_GB2312" w:asciiTheme="minorHAnsi" w:hAnsiTheme="minorHAnsi" w:cstheme="minorBidi"/>
                <w:sz w:val="24"/>
              </w:rPr>
              <w:t>当年值、增幅各占分值</w:t>
            </w:r>
            <w:r>
              <w:rPr>
                <w:rFonts w:hint="eastAsia" w:ascii="仿宋_GB2312" w:eastAsia="仿宋_GB2312" w:hAnsiTheme="minorEastAsia" w:cstheme="minorBidi"/>
                <w:color w:val="000000" w:themeColor="text1"/>
                <w:sz w:val="24"/>
                <w14:textFill>
                  <w14:solidFill>
                    <w14:schemeClr w14:val="tx1"/>
                  </w14:solidFill>
                </w14:textFill>
              </w:rPr>
              <w:t>60%、40%；如增幅为0或负数，则增幅分为0。全院排序赋分。</w:t>
            </w:r>
          </w:p>
        </w:tc>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5.国际合作交流</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（10分）</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中外合作办学</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计算方法：中外合作办学项目数、在校生总数。</w:t>
            </w:r>
          </w:p>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提供合作办学协议、在校生名单等佐证材料</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HAnsi" w:cstheme="minorBidi"/>
                <w:sz w:val="24"/>
              </w:rPr>
            </w:pPr>
            <w:r>
              <w:rPr>
                <w:rFonts w:hint="eastAsia" w:ascii="仿宋_GB2312" w:eastAsia="仿宋_GB2312" w:hAnsiTheme="minorHAnsi" w:cstheme="minorBidi"/>
                <w:sz w:val="24"/>
              </w:rPr>
              <w:t>项目数3分、在校生数2分。全院排序赋分。</w:t>
            </w:r>
          </w:p>
        </w:tc>
        <w:tc>
          <w:tcPr>
            <w:tcW w:w="1736"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bCs/>
                <w:color w:val="000000" w:themeColor="text1"/>
                <w:sz w:val="24"/>
                <w14:textFill>
                  <w14:solidFill>
                    <w14:schemeClr w14:val="tx1"/>
                  </w14:solidFill>
                </w14:textFill>
              </w:rPr>
              <w:t>招生就业处</w:t>
            </w:r>
          </w:p>
          <w:p>
            <w:pPr>
              <w:jc w:val="center"/>
              <w:rPr>
                <w:rFonts w:asciiTheme="minorEastAsia" w:hAnsiTheme="minorEastAsia" w:eastAsiaTheme="minorEastAsia" w:cstheme="minorBid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师生国（境）</w:t>
            </w:r>
          </w:p>
          <w:p>
            <w:pPr>
              <w:jc w:val="center"/>
              <w:rPr>
                <w:rFonts w:hint="eastAsia" w:asciiTheme="minorEastAsia" w:hAnsiTheme="minorEastAsia" w:eastAsiaTheme="minorEastAsia" w:cstheme="minorEastAsia"/>
                <w:color w:val="000000" w:themeColor="text1"/>
                <w:sz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外访学交流量</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计算办法：当年专任教师国（境）外访学三个月以上人数，当年在校生国（境）外交流一学期以上累计人数。</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教师、学生各占50%权重， 全院排序赋分。</w:t>
            </w:r>
          </w:p>
        </w:tc>
        <w:tc>
          <w:tcPr>
            <w:tcW w:w="1736"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57" w:type="dxa"/>
            <w:bottom w:w="142" w:type="dxa"/>
            <w:right w:w="57" w:type="dxa"/>
          </w:tblCellMar>
        </w:tblPrEx>
        <w:trPr>
          <w:trHeight w:val="56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6.发展能力（5分）</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信息化应用</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（5分）</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定量</w:t>
            </w:r>
          </w:p>
        </w:tc>
        <w:tc>
          <w:tcPr>
            <w:tcW w:w="533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计算方法：网络教学覆盖率=网络教学课程数/开设课程总数</w:t>
            </w:r>
            <w:r>
              <w:rPr>
                <w:rFonts w:ascii="Arial" w:hAnsi="Arial" w:eastAsia="Times New Roman" w:cs="Arial"/>
                <w:color w:val="333333"/>
                <w:sz w:val="24"/>
                <w:shd w:val="clear" w:color="auto" w:fill="FFFFFF"/>
              </w:rPr>
              <w:t>×</w:t>
            </w:r>
            <w:r>
              <w:rPr>
                <w:rFonts w:hint="eastAsia" w:ascii="仿宋_GB2312" w:eastAsia="仿宋_GB2312" w:hAnsiTheme="minorEastAsia" w:cstheme="minorBidi"/>
                <w:color w:val="000000" w:themeColor="text1"/>
                <w:sz w:val="24"/>
                <w14:textFill>
                  <w14:solidFill>
                    <w14:schemeClr w14:val="tx1"/>
                  </w14:solidFill>
                </w14:textFill>
              </w:rPr>
              <w:t>100%。</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hAnsiTheme="minorEastAsia" w:cstheme="minorBidi"/>
                <w:color w:val="000000" w:themeColor="text1"/>
                <w:sz w:val="24"/>
                <w14:textFill>
                  <w14:solidFill>
                    <w14:schemeClr w14:val="tx1"/>
                  </w14:solidFill>
                </w14:textFill>
              </w:rPr>
            </w:pPr>
            <w:r>
              <w:rPr>
                <w:rFonts w:hint="eastAsia" w:ascii="仿宋_GB2312" w:eastAsia="仿宋_GB2312" w:hAnsiTheme="minorEastAsia" w:cstheme="minorBidi"/>
                <w:color w:val="000000" w:themeColor="text1"/>
                <w:sz w:val="24"/>
                <w14:textFill>
                  <w14:solidFill>
                    <w14:schemeClr w14:val="tx1"/>
                  </w14:solidFill>
                </w14:textFill>
              </w:rPr>
              <w:t>全院排序赋分。</w:t>
            </w:r>
          </w:p>
          <w:p>
            <w:pPr>
              <w:rPr>
                <w:rFonts w:ascii="仿宋_GB2312" w:eastAsia="仿宋_GB2312" w:hAnsiTheme="minorEastAsia" w:cstheme="minorBidi"/>
                <w:color w:val="000000" w:themeColor="text1"/>
                <w:sz w:val="24"/>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Bidi"/>
                <w:color w:val="000000" w:themeColor="text1"/>
                <w:sz w:val="24"/>
                <w14:textFill>
                  <w14:solidFill>
                    <w14:schemeClr w14:val="tx1"/>
                  </w14:solidFill>
                </w14:textFill>
              </w:rPr>
            </w:pPr>
            <w:r>
              <w:rPr>
                <w:rFonts w:asciiTheme="minorEastAsia" w:hAnsiTheme="minorEastAsia" w:eastAsiaTheme="minorEastAsia" w:cstheme="minorBidi"/>
                <w:color w:val="000000" w:themeColor="text1"/>
                <w:sz w:val="24"/>
                <w14:textFill>
                  <w14:solidFill>
                    <w14:schemeClr w14:val="tx1"/>
                  </w14:solidFill>
                </w14:textFill>
              </w:rPr>
              <w:t>宣传部</w:t>
            </w:r>
          </w:p>
        </w:tc>
      </w:tr>
    </w:tbl>
    <w:p>
      <w:pPr>
        <w:pStyle w:val="3"/>
        <w:spacing w:before="8"/>
        <w:rPr>
          <w:rFonts w:hint="eastAsia" w:ascii="黑体" w:hAnsi="黑体" w:eastAsia="黑体" w:cs="黑体"/>
          <w:color w:val="000000" w:themeColor="text1"/>
          <w14:textFill>
            <w14:solidFill>
              <w14:schemeClr w14:val="tx1"/>
            </w14:solidFill>
          </w14:textFill>
        </w:rPr>
      </w:pPr>
    </w:p>
    <w:p>
      <w:pPr>
        <w:pStyle w:val="3"/>
        <w:spacing w:before="8"/>
        <w:rPr>
          <w:rFonts w:hint="eastAsia" w:ascii="黑体" w:hAnsi="黑体" w:eastAsia="黑体" w:cs="黑体"/>
          <w:color w:val="000000" w:themeColor="text1"/>
          <w14:textFill>
            <w14:solidFill>
              <w14:schemeClr w14:val="tx1"/>
            </w14:solidFill>
          </w14:textFill>
        </w:rPr>
      </w:pPr>
    </w:p>
    <w:p>
      <w:pPr>
        <w:pStyle w:val="3"/>
        <w:spacing w:before="8"/>
        <w:rPr>
          <w:rFonts w:hint="eastAsia" w:ascii="黑体" w:hAnsi="黑体" w:eastAsia="黑体" w:cs="黑体"/>
          <w:color w:val="000000" w:themeColor="text1"/>
          <w14:textFill>
            <w14:solidFill>
              <w14:schemeClr w14:val="tx1"/>
            </w14:solidFill>
          </w14:textFill>
        </w:rPr>
      </w:pPr>
    </w:p>
    <w:p>
      <w:pPr>
        <w:pStyle w:val="3"/>
        <w:spacing w:before="8"/>
        <w:rPr>
          <w:rFonts w:ascii="黑体" w:hAnsi="黑体" w:eastAsia="黑体" w:cs="黑体"/>
          <w:color w:val="000000" w:themeColor="text1"/>
          <w:lang w:val="en-US"/>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附件</w:t>
      </w:r>
      <w:r>
        <w:rPr>
          <w:rFonts w:ascii="黑体" w:hAnsi="黑体" w:eastAsia="黑体" w:cs="黑体"/>
          <w:color w:val="000000" w:themeColor="text1"/>
          <w:lang w:val="en-US"/>
          <w14:textFill>
            <w14:solidFill>
              <w14:schemeClr w14:val="tx1"/>
            </w14:solidFill>
          </w14:textFill>
        </w:rPr>
        <w:t>4</w:t>
      </w:r>
    </w:p>
    <w:p>
      <w:pPr>
        <w:pStyle w:val="3"/>
        <w:spacing w:before="8"/>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教学部门</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特色创新</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项目加分</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指标</w:t>
      </w:r>
    </w:p>
    <w:p>
      <w:pPr>
        <w:spacing w:before="8"/>
        <w:rPr>
          <w:rFonts w:ascii="Arial Unicode MS" w:hAnsi="Arial Unicode MS" w:eastAsia="Arial Unicode MS" w:cs="Arial Unicode MS"/>
          <w:color w:val="000000" w:themeColor="text1"/>
          <w:sz w:val="5"/>
          <w:szCs w:val="22"/>
          <w14:textFill>
            <w14:solidFill>
              <w14:schemeClr w14:val="tx1"/>
            </w14:solidFill>
          </w14:textFill>
        </w:rPr>
      </w:pPr>
    </w:p>
    <w:tbl>
      <w:tblPr>
        <w:tblStyle w:val="13"/>
        <w:tblW w:w="138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931"/>
        <w:gridCol w:w="1063"/>
        <w:gridCol w:w="6270"/>
        <w:gridCol w:w="3735"/>
        <w:gridCol w:w="1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cantSplit/>
          <w:trHeight w:val="459" w:hRule="atLeast"/>
          <w:tblHeader/>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spacing w:before="62" w:beforeLines="20" w:after="62" w:afterLines="20"/>
              <w:jc w:val="center"/>
              <w:rPr>
                <w:rFonts w:hint="eastAsia" w:ascii="黑体" w:hAnsi="黑体" w:eastAsia="黑体"/>
                <w:sz w:val="24"/>
              </w:rPr>
            </w:pPr>
            <w:r>
              <w:rPr>
                <w:rFonts w:hint="eastAsia" w:ascii="黑体" w:hAnsi="黑体" w:eastAsia="黑体"/>
                <w:sz w:val="24"/>
              </w:rPr>
              <w:t>序号</w:t>
            </w:r>
          </w:p>
        </w:tc>
        <w:tc>
          <w:tcPr>
            <w:tcW w:w="7333" w:type="dxa"/>
            <w:gridSpan w:val="2"/>
            <w:tcBorders>
              <w:top w:val="single" w:color="000000" w:sz="4" w:space="0"/>
              <w:left w:val="single" w:color="000000" w:sz="4" w:space="0"/>
              <w:bottom w:val="single" w:color="000000" w:sz="4" w:space="0"/>
              <w:right w:val="single" w:color="000000" w:sz="4" w:space="0"/>
            </w:tcBorders>
            <w:vAlign w:val="center"/>
          </w:tcPr>
          <w:p>
            <w:pPr>
              <w:spacing w:before="62" w:beforeLines="20" w:after="62" w:afterLines="20"/>
              <w:jc w:val="center"/>
              <w:rPr>
                <w:rFonts w:hint="eastAsia" w:ascii="黑体" w:hAnsi="黑体" w:eastAsia="黑体"/>
                <w:sz w:val="24"/>
              </w:rPr>
            </w:pPr>
            <w:r>
              <w:rPr>
                <w:rFonts w:hint="eastAsia" w:ascii="黑体" w:hAnsi="黑体" w:eastAsia="黑体"/>
                <w:sz w:val="24"/>
              </w:rPr>
              <w:t>标志性成果</w:t>
            </w:r>
          </w:p>
        </w:tc>
        <w:tc>
          <w:tcPr>
            <w:tcW w:w="3735" w:type="dxa"/>
            <w:tcBorders>
              <w:top w:val="single" w:color="000000" w:sz="4" w:space="0"/>
              <w:left w:val="single" w:color="000000" w:sz="4" w:space="0"/>
              <w:bottom w:val="single" w:color="000000" w:sz="4" w:space="0"/>
              <w:right w:val="single" w:color="000000" w:sz="4" w:space="0"/>
            </w:tcBorders>
            <w:vAlign w:val="center"/>
          </w:tcPr>
          <w:p>
            <w:pPr>
              <w:spacing w:before="62" w:beforeLines="20" w:after="62" w:afterLines="20"/>
              <w:jc w:val="center"/>
              <w:rPr>
                <w:rFonts w:hint="eastAsia" w:ascii="黑体" w:hAnsi="黑体" w:eastAsia="黑体"/>
                <w:sz w:val="24"/>
              </w:rPr>
            </w:pPr>
            <w:r>
              <w:rPr>
                <w:rFonts w:hint="eastAsia" w:ascii="黑体" w:hAnsi="黑体" w:eastAsia="黑体"/>
                <w:sz w:val="24"/>
              </w:rPr>
              <w:t>计分办法</w:t>
            </w:r>
          </w:p>
        </w:tc>
        <w:tc>
          <w:tcPr>
            <w:tcW w:w="1825" w:type="dxa"/>
            <w:tcBorders>
              <w:top w:val="single" w:color="000000" w:sz="4" w:space="0"/>
              <w:left w:val="single" w:color="000000" w:sz="4" w:space="0"/>
              <w:bottom w:val="single" w:color="000000" w:sz="4" w:space="0"/>
              <w:right w:val="single" w:color="000000" w:sz="4" w:space="0"/>
            </w:tcBorders>
            <w:vAlign w:val="center"/>
          </w:tcPr>
          <w:p>
            <w:pPr>
              <w:spacing w:before="62" w:beforeLines="20" w:after="62" w:afterLines="20"/>
              <w:jc w:val="center"/>
              <w:rPr>
                <w:rFonts w:hint="eastAsia" w:ascii="黑体" w:hAnsi="黑体" w:eastAsia="黑体"/>
                <w:sz w:val="24"/>
              </w:rPr>
            </w:pPr>
            <w:r>
              <w:rPr>
                <w:rFonts w:hint="eastAsia" w:ascii="黑体" w:hAnsi="黑体" w:eastAsia="黑体"/>
                <w:sz w:val="24"/>
              </w:rPr>
              <w:t>考核部门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06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综合类</w:t>
            </w: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获得全国职业教育先进单位、全国职业院校管理系列 50 强。</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先进单位 2 分，50 强每项 1 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color w:val="000000" w:themeColor="text1"/>
                <w:sz w:val="24"/>
                <w14:textFill>
                  <w14:solidFill>
                    <w14:schemeClr w14:val="tx1"/>
                  </w14:solidFill>
                </w14:textFill>
              </w:rPr>
            </w:pPr>
            <w:r>
              <w:rPr>
                <w:rFonts w:hint="eastAsia" w:cs="仿宋" w:asciiTheme="majorEastAsia" w:hAnsiTheme="majorEastAsia" w:eastAsiaTheme="majorEastAsia"/>
                <w:color w:val="000000" w:themeColor="text1"/>
                <w:sz w:val="24"/>
                <w14:textFill>
                  <w14:solidFill>
                    <w14:schemeClr w14:val="tx1"/>
                  </w14:solidFill>
                </w14:textFill>
              </w:rPr>
              <w:t>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被评为全国创新创业典型经验高校、深化创新创业教育改革示范高校。</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每项 2 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color w:val="000000" w:themeColor="text1"/>
                <w:sz w:val="24"/>
                <w14:textFill>
                  <w14:solidFill>
                    <w14:schemeClr w14:val="tx1"/>
                  </w14:solidFill>
                </w14:textFill>
              </w:rPr>
            </w:pPr>
            <w:r>
              <w:rPr>
                <w:rFonts w:hint="eastAsia" w:cs="仿宋" w:asciiTheme="majorEastAsia" w:hAnsiTheme="majorEastAsia" w:eastAsiaTheme="majorEastAsia"/>
                <w:color w:val="000000" w:themeColor="text1"/>
                <w:sz w:val="24"/>
                <w14:textFill>
                  <w14:solidFill>
                    <w14:schemeClr w14:val="tx1"/>
                  </w14:solidFill>
                </w14:textFill>
              </w:rPr>
              <w:t>招生就业处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立项建设国家产教融合实训基地、国家及省级公共实训基地。</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省级每个 2 分，国家级 2 倍权重。</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bCs/>
                <w:color w:val="000000" w:themeColor="text1"/>
                <w:sz w:val="24"/>
                <w14:textFill>
                  <w14:solidFill>
                    <w14:schemeClr w14:val="tx1"/>
                  </w14:solidFill>
                </w14:textFill>
              </w:rPr>
            </w:pPr>
            <w:r>
              <w:rPr>
                <w:rFonts w:hint="eastAsia" w:cs="仿宋" w:asciiTheme="majorEastAsia" w:hAnsiTheme="majorEastAsia" w:eastAsiaTheme="majorEastAsia"/>
                <w:bCs/>
                <w:color w:val="000000" w:themeColor="text1"/>
                <w:sz w:val="24"/>
                <w14:textFill>
                  <w14:solidFill>
                    <w14:schemeClr w14:val="tx1"/>
                  </w14:solidFill>
                </w14:textFill>
              </w:rPr>
              <w:t>招生就业处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牵头或参与国家行指委（教指委）、省专指委。</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省级牵头每个 2 分，国家级参与 2 分、牵头 5 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color w:val="000000" w:themeColor="text1"/>
                <w:sz w:val="24"/>
                <w14:textFill>
                  <w14:solidFill>
                    <w14:schemeClr w14:val="tx1"/>
                  </w14:solidFill>
                </w14:textFill>
              </w:rPr>
            </w:pPr>
            <w:r>
              <w:rPr>
                <w:rFonts w:hint="eastAsia" w:cs="仿宋" w:asciiTheme="majorEastAsia" w:hAnsiTheme="majorEastAsia" w:eastAsiaTheme="majorEastAsia"/>
                <w:color w:val="000000" w:themeColor="text1"/>
                <w:sz w:val="24"/>
                <w14:textFill>
                  <w14:solidFill>
                    <w14:schemeClr w14:val="tx1"/>
                  </w14:solidFill>
                </w14:textFill>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牵头职教集团（联盟）。</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省级每个 2 分，国家级每个 5 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color w:val="000000" w:themeColor="text1"/>
                <w:sz w:val="24"/>
                <w14:textFill>
                  <w14:solidFill>
                    <w14:schemeClr w14:val="tx1"/>
                  </w14:solidFill>
                </w14:textFill>
              </w:rPr>
            </w:pPr>
            <w:r>
              <w:rPr>
                <w:rFonts w:hint="eastAsia" w:cs="仿宋" w:asciiTheme="majorEastAsia" w:hAnsiTheme="majorEastAsia" w:eastAsiaTheme="majorEastAsia"/>
                <w:color w:val="000000" w:themeColor="text1"/>
                <w:sz w:val="24"/>
                <w14:textFill>
                  <w14:solidFill>
                    <w14:schemeClr w14:val="tx1"/>
                  </w14:solidFill>
                </w14:textFill>
              </w:rPr>
              <w:t>招生就业处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106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教师教学类</w:t>
            </w: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获得教学成果奖（第一完成单位）。</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省级特等、一等、二等每项分别计 3、2、1 分，国家级 3 倍权重。</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color w:val="000000" w:themeColor="text1"/>
                <w:sz w:val="24"/>
                <w14:textFill>
                  <w14:solidFill>
                    <w14:schemeClr w14:val="tx1"/>
                  </w14:solidFill>
                </w14:textFill>
              </w:rPr>
            </w:pPr>
            <w:r>
              <w:rPr>
                <w:rFonts w:hint="eastAsia" w:cs="仿宋" w:asciiTheme="majorEastAsia" w:hAnsiTheme="majorEastAsia" w:eastAsiaTheme="majorEastAsia"/>
                <w:color w:val="000000" w:themeColor="text1"/>
                <w:sz w:val="24"/>
                <w14:textFill>
                  <w14:solidFill>
                    <w14:schemeClr w14:val="tx1"/>
                  </w14:solidFill>
                </w14:textFill>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9"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获全国高校黄大年式教师团队。</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每项 3 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color w:val="000000" w:themeColor="text1"/>
                <w:sz w:val="24"/>
                <w14:textFill>
                  <w14:solidFill>
                    <w14:schemeClr w14:val="tx1"/>
                  </w14:solidFill>
                </w14:textFill>
              </w:rPr>
            </w:pPr>
            <w:r>
              <w:rPr>
                <w:rFonts w:hint="eastAsia" w:cs="仿宋" w:asciiTheme="majorEastAsia" w:hAnsiTheme="majorEastAsia" w:eastAsiaTheme="majorEastAsia"/>
                <w:color w:val="000000" w:themeColor="text1"/>
                <w:sz w:val="24"/>
                <w14:textFill>
                  <w14:solidFill>
                    <w14:schemeClr w14:val="tx1"/>
                  </w14:solidFill>
                </w14:textFill>
              </w:rPr>
              <w:t>组织人事部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教师在政府部门举办的各类教育教学能力大赛获奖。</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省级一、二、三等奖每项分别计 2、1、0.5 分，国家级 3 倍权重。</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bCs/>
                <w:color w:val="000000" w:themeColor="text1"/>
                <w:sz w:val="24"/>
                <w14:textFill>
                  <w14:solidFill>
                    <w14:schemeClr w14:val="tx1"/>
                  </w14:solidFill>
                </w14:textFill>
              </w:rPr>
            </w:pPr>
            <w:r>
              <w:rPr>
                <w:rFonts w:hint="eastAsia" w:cs="仿宋" w:asciiTheme="majorEastAsia" w:hAnsiTheme="majorEastAsia" w:eastAsiaTheme="majorEastAsia"/>
                <w:bCs/>
                <w:color w:val="000000" w:themeColor="text1"/>
                <w:sz w:val="24"/>
                <w14:textFill>
                  <w14:solidFill>
                    <w14:schemeClr w14:val="tx1"/>
                  </w14:solidFill>
                </w14:textFill>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牵头或参与开发国家级和省级专业教学标准、专业（类）顶岗实习标准、专业实训教学条件建设标准、职业培训标准。</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省级牵头每项 2 分、参与 0.5 分，国家级 2 倍权重。</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color w:val="000000" w:themeColor="text1"/>
                <w:sz w:val="24"/>
                <w14:textFill>
                  <w14:solidFill>
                    <w14:schemeClr w14:val="tx1"/>
                  </w14:solidFill>
                </w14:textFill>
              </w:rPr>
            </w:pPr>
            <w:r>
              <w:rPr>
                <w:rFonts w:hint="eastAsia" w:cs="仿宋" w:asciiTheme="majorEastAsia" w:hAnsiTheme="majorEastAsia" w:eastAsiaTheme="majorEastAsia"/>
                <w:color w:val="000000" w:themeColor="text1"/>
                <w:sz w:val="24"/>
                <w14:textFill>
                  <w14:solidFill>
                    <w14:schemeClr w14:val="tx1"/>
                  </w14:solidFill>
                </w14:textFill>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牵头开发国家及省职业教育规划教材。</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省级每门 0.2 分，国家级每门 0.5 分。最高不超过 4分。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bCs/>
                <w:color w:val="000000" w:themeColor="text1"/>
                <w:sz w:val="24"/>
                <w14:textFill>
                  <w14:solidFill>
                    <w14:schemeClr w14:val="tx1"/>
                  </w14:solidFill>
                </w14:textFill>
              </w:rPr>
            </w:pPr>
            <w:r>
              <w:rPr>
                <w:rFonts w:hint="eastAsia" w:cs="仿宋" w:asciiTheme="majorEastAsia" w:hAnsiTheme="majorEastAsia" w:eastAsiaTheme="majorEastAsia"/>
                <w:bCs/>
                <w:color w:val="000000" w:themeColor="text1"/>
                <w:sz w:val="24"/>
                <w14:textFill>
                  <w14:solidFill>
                    <w14:schemeClr w14:val="tx1"/>
                  </w14:solidFill>
                </w14:textFill>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立项建设国家在线开放课程、省级精品资源课、国家专业教学资源库、省级专业教学资源库。</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省级课程每门 1 分，资源库 10 倍权重，国家级 2 倍权重。最高不超过 4 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bCs/>
                <w:color w:val="000000" w:themeColor="text1"/>
                <w:sz w:val="24"/>
                <w14:textFill>
                  <w14:solidFill>
                    <w14:schemeClr w14:val="tx1"/>
                  </w14:solidFill>
                </w14:textFill>
              </w:rPr>
            </w:pPr>
            <w:r>
              <w:rPr>
                <w:rFonts w:hint="eastAsia" w:cs="仿宋" w:asciiTheme="majorEastAsia" w:hAnsiTheme="majorEastAsia" w:eastAsiaTheme="majorEastAsia"/>
                <w:bCs/>
                <w:color w:val="000000" w:themeColor="text1"/>
                <w:sz w:val="24"/>
                <w14:textFill>
                  <w14:solidFill>
                    <w14:schemeClr w14:val="tx1"/>
                  </w14:solidFill>
                </w14:textFill>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106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科研类</w:t>
            </w: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立项省部级及以上科研项目（第一主持单位）。</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 1 分，国家级 4 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bCs/>
                <w:color w:val="000000" w:themeColor="text1"/>
                <w:sz w:val="24"/>
                <w14:textFill>
                  <w14:solidFill>
                    <w14:schemeClr w14:val="tx1"/>
                  </w14:solidFill>
                </w14:textFill>
              </w:rPr>
            </w:pPr>
            <w:r>
              <w:rPr>
                <w:rFonts w:hint="eastAsia" w:cs="仿宋" w:asciiTheme="majorEastAsia" w:hAnsiTheme="majorEastAsia" w:eastAsiaTheme="majorEastAsia"/>
                <w:bCs/>
                <w:color w:val="000000" w:themeColor="text1"/>
                <w:sz w:val="24"/>
                <w14:textFill>
                  <w14:solidFill>
                    <w14:schemeClr w14:val="tx1"/>
                  </w14:solidFill>
                </w14:textFill>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获国家及省级科学技术奖、社会科学优秀成果奖（限前三位完成单位）。</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省级一等、二等、三等奖每项分别计 3、2、1 分，国家级 3 倍权重。</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bCs/>
                <w:color w:val="000000" w:themeColor="text1"/>
                <w:sz w:val="24"/>
                <w14:textFill>
                  <w14:solidFill>
                    <w14:schemeClr w14:val="tx1"/>
                  </w14:solidFill>
                </w14:textFill>
              </w:rPr>
            </w:pPr>
            <w:r>
              <w:rPr>
                <w:rFonts w:hint="eastAsia" w:cs="仿宋" w:asciiTheme="majorEastAsia" w:hAnsiTheme="majorEastAsia" w:eastAsiaTheme="majorEastAsia"/>
                <w:bCs/>
                <w:color w:val="000000" w:themeColor="text1"/>
                <w:sz w:val="24"/>
                <w14:textFill>
                  <w14:solidFill>
                    <w14:schemeClr w14:val="tx1"/>
                  </w14:solidFill>
                </w14:textFill>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获批国家及省级科研创新平台。</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省级每项 2 分、国家级 2 倍权重。</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bCs/>
                <w:color w:val="000000" w:themeColor="text1"/>
                <w:sz w:val="24"/>
                <w14:textFill>
                  <w14:solidFill>
                    <w14:schemeClr w14:val="tx1"/>
                  </w14:solidFill>
                </w14:textFill>
              </w:rPr>
            </w:pPr>
            <w:r>
              <w:rPr>
                <w:rFonts w:hint="eastAsia" w:cs="仿宋" w:asciiTheme="majorEastAsia" w:hAnsiTheme="majorEastAsia" w:eastAsiaTheme="majorEastAsia"/>
                <w:bCs/>
                <w:color w:val="000000" w:themeColor="text1"/>
                <w:sz w:val="24"/>
                <w14:textFill>
                  <w14:solidFill>
                    <w14:schemeClr w14:val="tx1"/>
                  </w14:solidFill>
                </w14:textFill>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106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竞赛类</w:t>
            </w: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承办全国、全省职业院校技能大赛、教学能力大赛。</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省级每项 1 分、国家级每项 3 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bCs/>
                <w:color w:val="000000" w:themeColor="text1"/>
                <w:sz w:val="24"/>
                <w14:textFill>
                  <w14:solidFill>
                    <w14:schemeClr w14:val="tx1"/>
                  </w14:solidFill>
                </w14:textFill>
              </w:rPr>
            </w:pPr>
            <w:r>
              <w:rPr>
                <w:rFonts w:hint="eastAsia" w:cs="仿宋" w:asciiTheme="majorEastAsia" w:hAnsiTheme="majorEastAsia" w:eastAsiaTheme="majorEastAsia"/>
                <w:bCs/>
                <w:color w:val="000000" w:themeColor="text1"/>
                <w:sz w:val="24"/>
                <w14:textFill>
                  <w14:solidFill>
                    <w14:schemeClr w14:val="tx1"/>
                  </w14:solidFill>
                </w14:textFill>
              </w:rPr>
              <w:t>实验实训中心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学生在中国“互联网+”大学生创新创业大赛、“挑战杯”全国大学生课外学术科技作品竞赛、中国大学生创业计划竞赛及其省赛中获奖，学生在省大学生科技创新大赛中获奖。</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每项省级、国家级的一、二、三等奖分别计 0.3、0.2、0.1 分，1、0.6、0.3 分。最高不超过 3 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bCs/>
                <w:color w:val="000000" w:themeColor="text1"/>
                <w:sz w:val="24"/>
                <w14:textFill>
                  <w14:solidFill>
                    <w14:schemeClr w14:val="tx1"/>
                  </w14:solidFill>
                </w14:textFill>
              </w:rPr>
            </w:pPr>
            <w:r>
              <w:rPr>
                <w:rFonts w:hint="eastAsia" w:cs="仿宋" w:asciiTheme="majorEastAsia" w:hAnsiTheme="majorEastAsia" w:eastAsiaTheme="majorEastAsia"/>
                <w:bCs/>
                <w:color w:val="000000" w:themeColor="text1"/>
                <w:sz w:val="24"/>
                <w14:textFill>
                  <w14:solidFill>
                    <w14:schemeClr w14:val="tx1"/>
                  </w14:solidFill>
                </w14:textFill>
              </w:rPr>
              <w:t>招生就业处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Theme="minorEastAsia" w:hAnsiTheme="minorEastAsia" w:eastAsiaTheme="minorEastAsia" w:cstheme="minorEastAsia"/>
                <w:color w:val="000000" w:themeColor="text1"/>
                <w:sz w:val="24"/>
                <w:lang w:val="zh-CN" w:bidi="zh-CN"/>
                <w14:textFill>
                  <w14:solidFill>
                    <w14:schemeClr w14:val="tx1"/>
                  </w14:solidFill>
                </w14:textFill>
              </w:rPr>
            </w:pP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学生在世界技能大赛中获奖。</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金、银、铜、优胜奖分别计 5、3、2、1 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bCs/>
                <w:color w:val="000000" w:themeColor="text1"/>
                <w:sz w:val="24"/>
                <w14:textFill>
                  <w14:solidFill>
                    <w14:schemeClr w14:val="tx1"/>
                  </w14:solidFill>
                </w14:textFill>
              </w:rPr>
            </w:pPr>
            <w:r>
              <w:rPr>
                <w:rFonts w:hint="eastAsia" w:cs="仿宋" w:asciiTheme="majorEastAsia" w:hAnsiTheme="majorEastAsia" w:eastAsiaTheme="majorEastAsia"/>
                <w:bCs/>
                <w:color w:val="000000" w:themeColor="text1"/>
                <w:sz w:val="24"/>
                <w14:textFill>
                  <w14:solidFill>
                    <w14:schemeClr w14:val="tx1"/>
                  </w14:solidFill>
                </w14:textFill>
              </w:rPr>
              <w:t>实验实训中心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61"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w:t>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其他</w:t>
            </w:r>
          </w:p>
        </w:tc>
        <w:tc>
          <w:tcPr>
            <w:tcW w:w="62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其他省级及以上项目、荣誉。</w:t>
            </w:r>
          </w:p>
        </w:tc>
        <w:tc>
          <w:tcPr>
            <w:tcW w:w="37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专家认定赋分，最高不超过 3 分。</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cs="仿宋" w:asciiTheme="majorEastAsia" w:hAnsiTheme="majorEastAsia" w:eastAsiaTheme="majorEastAsia"/>
                <w:bCs/>
                <w:color w:val="000000" w:themeColor="text1"/>
                <w:sz w:val="24"/>
                <w14:textFill>
                  <w14:solidFill>
                    <w14:schemeClr w14:val="tx1"/>
                  </w14:solidFill>
                </w14:textFill>
              </w:rPr>
            </w:pPr>
            <w:r>
              <w:rPr>
                <w:rFonts w:hint="eastAsia" w:cs="仿宋" w:asciiTheme="majorEastAsia" w:hAnsiTheme="majorEastAsia" w:eastAsiaTheme="majorEastAsia"/>
                <w:bCs/>
                <w:color w:val="000000" w:themeColor="text1"/>
                <w:sz w:val="24"/>
                <w14:textFill>
                  <w14:solidFill>
                    <w14:schemeClr w14:val="tx1"/>
                  </w14:solidFill>
                </w14:textFill>
              </w:rPr>
              <w:t>办公室</w:t>
            </w:r>
          </w:p>
        </w:tc>
      </w:tr>
    </w:tbl>
    <w:p>
      <w:pPr>
        <w:spacing w:line="332" w:lineRule="exact"/>
        <w:ind w:left="22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注：1.以上只填报当年获得的项目或荣誉。2.各责任部门第一部门为牵头单位。</w:t>
      </w:r>
    </w:p>
    <w:p>
      <w:pPr>
        <w:widowControl/>
        <w:adjustRightInd w:val="0"/>
        <w:snapToGrid w:val="0"/>
        <w:spacing w:line="600" w:lineRule="exact"/>
        <w:jc w:val="left"/>
        <w:rPr>
          <w:rFonts w:hint="eastAsia" w:ascii="黑体" w:hAnsi="黑体" w:eastAsia="黑体" w:cs="方正小标宋_GBK"/>
          <w:b/>
          <w:bCs w:val="0"/>
          <w:color w:val="000000"/>
          <w:kern w:val="0"/>
          <w:sz w:val="32"/>
          <w:szCs w:val="32"/>
        </w:rPr>
      </w:pPr>
    </w:p>
    <w:p>
      <w:pPr>
        <w:widowControl/>
        <w:adjustRightInd w:val="0"/>
        <w:snapToGrid w:val="0"/>
        <w:spacing w:line="600" w:lineRule="exact"/>
        <w:jc w:val="left"/>
        <w:rPr>
          <w:rFonts w:hint="eastAsia" w:ascii="黑体" w:hAnsi="黑体" w:eastAsia="黑体" w:cs="方正小标宋_GBK"/>
          <w:b w:val="0"/>
          <w:bCs/>
          <w:color w:val="auto"/>
          <w:kern w:val="0"/>
          <w:sz w:val="32"/>
          <w:szCs w:val="32"/>
        </w:rPr>
      </w:pPr>
      <w:r>
        <w:rPr>
          <w:rFonts w:hint="eastAsia" w:ascii="黑体" w:hAnsi="黑体" w:eastAsia="黑体" w:cs="方正小标宋_GBK"/>
          <w:b w:val="0"/>
          <w:bCs/>
          <w:color w:val="auto"/>
          <w:kern w:val="0"/>
          <w:sz w:val="32"/>
          <w:szCs w:val="32"/>
        </w:rPr>
        <w:t>附件5</w:t>
      </w:r>
    </w:p>
    <w:p>
      <w:pPr>
        <w:widowControl/>
        <w:adjustRightInd w:val="0"/>
        <w:snapToGrid w:val="0"/>
        <w:spacing w:after="156" w:afterLines="50" w:line="600" w:lineRule="exact"/>
        <w:jc w:val="center"/>
        <w:rPr>
          <w:rFonts w:hint="eastAsia" w:ascii="方正小标宋简体" w:hAnsi="方正小标宋_GBK" w:eastAsia="方正小标宋简体" w:cs="方正小标宋_GBK"/>
          <w:bCs/>
          <w:color w:val="000000"/>
          <w:kern w:val="0"/>
          <w:sz w:val="44"/>
          <w:szCs w:val="44"/>
        </w:rPr>
      </w:pPr>
      <w:r>
        <w:rPr>
          <w:rFonts w:hint="eastAsia" w:ascii="方正小标宋简体" w:hAnsi="方正小标宋_GBK" w:eastAsia="方正小标宋简体" w:cs="方正小标宋_GBK"/>
          <w:bCs/>
          <w:color w:val="000000"/>
          <w:kern w:val="0"/>
          <w:sz w:val="44"/>
          <w:szCs w:val="44"/>
        </w:rPr>
        <w:t>教学部门</w:t>
      </w:r>
      <w:r>
        <w:rPr>
          <w:rFonts w:hint="eastAsia" w:ascii="方正小标宋简体" w:hAnsi="方正小标宋_GBK" w:eastAsia="方正小标宋简体" w:cs="方正小标宋_GBK"/>
          <w:bCs/>
          <w:color w:val="000000"/>
          <w:kern w:val="0"/>
          <w:sz w:val="44"/>
          <w:szCs w:val="44"/>
          <w:lang w:val="en-US" w:eastAsia="zh-CN"/>
        </w:rPr>
        <w:t>绩效</w:t>
      </w:r>
      <w:r>
        <w:rPr>
          <w:rFonts w:hint="eastAsia" w:ascii="方正小标宋简体" w:hAnsi="方正小标宋_GBK" w:eastAsia="方正小标宋简体" w:cs="方正小标宋_GBK"/>
          <w:bCs/>
          <w:color w:val="000000"/>
          <w:kern w:val="0"/>
          <w:sz w:val="44"/>
          <w:szCs w:val="44"/>
        </w:rPr>
        <w:t>考核减分项指标</w:t>
      </w:r>
    </w:p>
    <w:p>
      <w:pPr>
        <w:pStyle w:val="2"/>
      </w:pPr>
    </w:p>
    <w:tbl>
      <w:tblPr>
        <w:tblStyle w:val="7"/>
        <w:tblW w:w="13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677"/>
        <w:gridCol w:w="8616"/>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30" w:type="dxa"/>
            <w:vAlign w:val="center"/>
          </w:tcPr>
          <w:p>
            <w:pPr>
              <w:spacing w:before="62" w:beforeLines="20" w:after="62" w:afterLines="20"/>
              <w:jc w:val="center"/>
              <w:rPr>
                <w:rFonts w:ascii="黑体" w:hAnsi="黑体" w:eastAsia="黑体"/>
                <w:sz w:val="24"/>
              </w:rPr>
            </w:pPr>
            <w:r>
              <w:rPr>
                <w:rFonts w:hint="eastAsia" w:ascii="黑体" w:hAnsi="黑体" w:eastAsia="黑体"/>
                <w:sz w:val="24"/>
              </w:rPr>
              <w:t>一级指标</w:t>
            </w:r>
          </w:p>
        </w:tc>
        <w:tc>
          <w:tcPr>
            <w:tcW w:w="1677" w:type="dxa"/>
            <w:vAlign w:val="center"/>
          </w:tcPr>
          <w:p>
            <w:pPr>
              <w:spacing w:before="62" w:beforeLines="20" w:after="62" w:afterLines="20"/>
              <w:jc w:val="center"/>
              <w:rPr>
                <w:rFonts w:ascii="黑体" w:hAnsi="黑体" w:eastAsia="黑体"/>
                <w:sz w:val="24"/>
              </w:rPr>
            </w:pPr>
            <w:r>
              <w:rPr>
                <w:rFonts w:hint="eastAsia" w:ascii="黑体" w:hAnsi="黑体" w:eastAsia="黑体"/>
                <w:sz w:val="24"/>
              </w:rPr>
              <w:t>二级指标</w:t>
            </w:r>
          </w:p>
        </w:tc>
        <w:tc>
          <w:tcPr>
            <w:tcW w:w="8616" w:type="dxa"/>
            <w:vAlign w:val="center"/>
          </w:tcPr>
          <w:p>
            <w:pPr>
              <w:spacing w:before="62" w:beforeLines="20" w:after="62" w:afterLines="20"/>
              <w:ind w:left="106"/>
              <w:jc w:val="center"/>
              <w:rPr>
                <w:rFonts w:ascii="黑体" w:hAnsi="黑体" w:eastAsia="黑体"/>
                <w:sz w:val="24"/>
              </w:rPr>
            </w:pPr>
            <w:r>
              <w:rPr>
                <w:rFonts w:hint="eastAsia" w:ascii="黑体" w:hAnsi="黑体" w:eastAsia="黑体"/>
                <w:sz w:val="24"/>
              </w:rPr>
              <w:t>主要观测点</w:t>
            </w:r>
          </w:p>
        </w:tc>
        <w:tc>
          <w:tcPr>
            <w:tcW w:w="1887" w:type="dxa"/>
            <w:vAlign w:val="center"/>
          </w:tcPr>
          <w:p>
            <w:pPr>
              <w:spacing w:before="62" w:beforeLines="20" w:after="62" w:afterLines="20"/>
              <w:jc w:val="center"/>
              <w:rPr>
                <w:rFonts w:ascii="黑体" w:hAnsi="黑体" w:eastAsia="黑体"/>
                <w:sz w:val="24"/>
              </w:rPr>
            </w:pPr>
            <w:r>
              <w:rPr>
                <w:rFonts w:hint="eastAsia" w:ascii="黑体" w:hAnsi="黑体" w:eastAsia="黑体"/>
                <w:sz w:val="24"/>
              </w:rPr>
              <w:t>认定单位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630" w:type="dxa"/>
            <w:vMerge w:val="restart"/>
            <w:vAlign w:val="center"/>
          </w:tcPr>
          <w:p>
            <w:pPr>
              <w:adjustRightInd w:val="0"/>
              <w:snapToGrid w:val="0"/>
              <w:spacing w:line="28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扣分事项</w:t>
            </w:r>
          </w:p>
        </w:tc>
        <w:tc>
          <w:tcPr>
            <w:tcW w:w="1677" w:type="dxa"/>
            <w:vMerge w:val="restart"/>
            <w:vAlign w:val="center"/>
          </w:tcPr>
          <w:p>
            <w:pPr>
              <w:adjustRightInd w:val="0"/>
              <w:snapToGrid w:val="0"/>
              <w:spacing w:line="28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扣分事项</w:t>
            </w:r>
          </w:p>
          <w:p>
            <w:pPr>
              <w:adjustRightInd w:val="0"/>
              <w:snapToGrid w:val="0"/>
              <w:spacing w:line="28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（最高扣</w:t>
            </w:r>
          </w:p>
          <w:p>
            <w:pPr>
              <w:adjustRightInd w:val="0"/>
              <w:snapToGrid w:val="0"/>
              <w:spacing w:line="28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２0分）</w:t>
            </w:r>
          </w:p>
        </w:tc>
        <w:tc>
          <w:tcPr>
            <w:tcW w:w="8616" w:type="dxa"/>
            <w:vAlign w:val="center"/>
          </w:tcPr>
          <w:p>
            <w:pPr>
              <w:adjustRightInd w:val="0"/>
              <w:snapToGrid w:val="0"/>
              <w:spacing w:line="280" w:lineRule="exact"/>
              <w:rPr>
                <w:rFonts w:ascii="仿宋_GB2312" w:eastAsia="仿宋_GB2312"/>
                <w:color w:val="000000"/>
                <w:sz w:val="24"/>
              </w:rPr>
            </w:pPr>
            <w:r>
              <w:rPr>
                <w:rFonts w:hint="eastAsia" w:ascii="仿宋_GB2312" w:eastAsia="仿宋_GB2312"/>
                <w:color w:val="000000"/>
                <w:sz w:val="24"/>
              </w:rPr>
              <w:t>意识形态、宗教、反邪教等工作出现严重问题按规定应予处罚的，减10分，直至一票否决;</w:t>
            </w:r>
            <w:r>
              <w:rPr>
                <w:rFonts w:hint="eastAsia" w:ascii="仿宋_GB2312" w:hAnsi="宋体" w:eastAsia="仿宋_GB2312"/>
                <w:color w:val="000000"/>
                <w:sz w:val="24"/>
              </w:rPr>
              <w:t xml:space="preserve"> </w:t>
            </w:r>
          </w:p>
        </w:tc>
        <w:tc>
          <w:tcPr>
            <w:tcW w:w="1887"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630" w:type="dxa"/>
            <w:vMerge w:val="continue"/>
            <w:vAlign w:val="center"/>
          </w:tcPr>
          <w:p>
            <w:pPr>
              <w:adjustRightInd w:val="0"/>
              <w:snapToGrid w:val="0"/>
              <w:spacing w:line="280" w:lineRule="exact"/>
              <w:jc w:val="center"/>
              <w:rPr>
                <w:rFonts w:ascii="仿宋_GB2312" w:hAnsi="宋体" w:eastAsia="仿宋_GB2312" w:cs="宋体"/>
                <w:color w:val="000000"/>
                <w:sz w:val="24"/>
              </w:rPr>
            </w:pPr>
          </w:p>
        </w:tc>
        <w:tc>
          <w:tcPr>
            <w:tcW w:w="1677" w:type="dxa"/>
            <w:vMerge w:val="continue"/>
            <w:vAlign w:val="center"/>
          </w:tcPr>
          <w:p>
            <w:pPr>
              <w:adjustRightInd w:val="0"/>
              <w:snapToGrid w:val="0"/>
              <w:spacing w:line="280" w:lineRule="exact"/>
              <w:jc w:val="center"/>
              <w:rPr>
                <w:rFonts w:ascii="仿宋_GB2312" w:hAnsi="宋体" w:eastAsia="仿宋_GB2312" w:cs="宋体"/>
                <w:color w:val="000000"/>
                <w:sz w:val="24"/>
              </w:rPr>
            </w:pPr>
          </w:p>
        </w:tc>
        <w:tc>
          <w:tcPr>
            <w:tcW w:w="8616" w:type="dxa"/>
            <w:vAlign w:val="center"/>
          </w:tcPr>
          <w:p>
            <w:pPr>
              <w:adjustRightInd w:val="0"/>
              <w:snapToGrid w:val="0"/>
              <w:spacing w:line="280" w:lineRule="exact"/>
              <w:rPr>
                <w:rFonts w:ascii="仿宋_GB2312" w:eastAsia="仿宋_GB2312"/>
                <w:color w:val="000000"/>
                <w:sz w:val="24"/>
              </w:rPr>
            </w:pPr>
            <w:r>
              <w:rPr>
                <w:rFonts w:hint="eastAsia" w:ascii="仿宋_GB2312" w:hAnsi="宋体" w:eastAsia="仿宋_GB2312"/>
                <w:color w:val="000000"/>
                <w:sz w:val="24"/>
              </w:rPr>
              <w:t>履行党风廉政建设不力，部门工作人员受到党纪、政纪处分或法律追究的减10分;</w:t>
            </w:r>
          </w:p>
        </w:tc>
        <w:tc>
          <w:tcPr>
            <w:tcW w:w="1887"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纪委办</w:t>
            </w:r>
            <w:r>
              <w:rPr>
                <w:rFonts w:hint="eastAsia" w:asciiTheme="minorEastAsia" w:hAnsiTheme="minorEastAsia" w:eastAsiaTheme="minorEastAsia" w:cstheme="minorEastAsia"/>
                <w:color w:val="000000"/>
                <w:sz w:val="24"/>
                <w:lang w:eastAsia="zh-CN"/>
              </w:rPr>
              <w:t>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630" w:type="dxa"/>
            <w:vMerge w:val="continue"/>
            <w:vAlign w:val="center"/>
          </w:tcPr>
          <w:p>
            <w:pPr>
              <w:adjustRightInd w:val="0"/>
              <w:snapToGrid w:val="0"/>
              <w:spacing w:line="280" w:lineRule="exact"/>
              <w:jc w:val="center"/>
              <w:rPr>
                <w:rFonts w:ascii="仿宋_GB2312" w:hAnsi="宋体" w:eastAsia="仿宋_GB2312" w:cs="宋体"/>
                <w:color w:val="000000"/>
                <w:sz w:val="24"/>
              </w:rPr>
            </w:pPr>
          </w:p>
        </w:tc>
        <w:tc>
          <w:tcPr>
            <w:tcW w:w="1677" w:type="dxa"/>
            <w:vMerge w:val="continue"/>
            <w:vAlign w:val="center"/>
          </w:tcPr>
          <w:p>
            <w:pPr>
              <w:adjustRightInd w:val="0"/>
              <w:snapToGrid w:val="0"/>
              <w:spacing w:line="280" w:lineRule="exact"/>
              <w:jc w:val="center"/>
              <w:rPr>
                <w:rFonts w:ascii="仿宋_GB2312" w:hAnsi="宋体" w:eastAsia="仿宋_GB2312" w:cs="宋体"/>
                <w:color w:val="000000"/>
                <w:sz w:val="24"/>
              </w:rPr>
            </w:pPr>
          </w:p>
        </w:tc>
        <w:tc>
          <w:tcPr>
            <w:tcW w:w="8616" w:type="dxa"/>
            <w:vAlign w:val="center"/>
          </w:tcPr>
          <w:p>
            <w:pPr>
              <w:adjustRightInd w:val="0"/>
              <w:snapToGrid w:val="0"/>
              <w:spacing w:line="280" w:lineRule="exact"/>
              <w:rPr>
                <w:rFonts w:ascii="仿宋_GB2312" w:hAnsi="宋体" w:eastAsia="仿宋_GB2312"/>
                <w:color w:val="000000"/>
                <w:sz w:val="24"/>
              </w:rPr>
            </w:pPr>
            <w:r>
              <w:rPr>
                <w:rFonts w:hint="eastAsia" w:ascii="仿宋_GB2312" w:hAnsi="宋体" w:eastAsia="仿宋_GB2312"/>
                <w:color w:val="000000"/>
                <w:sz w:val="24"/>
              </w:rPr>
              <w:t>出现校园重大安全责任事故的,视情况一次减5—10分,直至一票否决;</w:t>
            </w:r>
          </w:p>
        </w:tc>
        <w:tc>
          <w:tcPr>
            <w:tcW w:w="1887"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安</w:t>
            </w:r>
            <w:r>
              <w:rPr>
                <w:rFonts w:hint="eastAsia" w:asciiTheme="minorEastAsia" w:hAnsiTheme="minorEastAsia" w:eastAsiaTheme="minorEastAsia" w:cstheme="minorEastAsia"/>
                <w:color w:val="000000"/>
                <w:sz w:val="24"/>
                <w:lang w:eastAsia="zh-CN"/>
              </w:rPr>
              <w:t>全</w:t>
            </w:r>
            <w:r>
              <w:rPr>
                <w:rFonts w:hint="eastAsia" w:asciiTheme="minorEastAsia" w:hAnsiTheme="minorEastAsia" w:eastAsiaTheme="minorEastAsia" w:cstheme="minorEastAsia"/>
                <w:color w:val="000000"/>
                <w:sz w:val="24"/>
              </w:rPr>
              <w:t>保</w:t>
            </w:r>
            <w:r>
              <w:rPr>
                <w:rFonts w:hint="eastAsia" w:asciiTheme="minorEastAsia" w:hAnsiTheme="minorEastAsia" w:eastAsiaTheme="minorEastAsia" w:cstheme="minorEastAsia"/>
                <w:color w:val="000000"/>
                <w:sz w:val="24"/>
                <w:lang w:eastAsia="zh-CN"/>
              </w:rPr>
              <w:t>卫</w:t>
            </w:r>
            <w:r>
              <w:rPr>
                <w:rFonts w:hint="eastAsia" w:asciiTheme="minorEastAsia" w:hAnsiTheme="minorEastAsia" w:eastAsiaTheme="minorEastAsia" w:cstheme="minorEastAsia"/>
                <w:color w:val="000000"/>
                <w:sz w:val="24"/>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630" w:type="dxa"/>
            <w:vMerge w:val="continue"/>
            <w:vAlign w:val="center"/>
          </w:tcPr>
          <w:p>
            <w:pPr>
              <w:adjustRightInd w:val="0"/>
              <w:snapToGrid w:val="0"/>
              <w:spacing w:line="280" w:lineRule="exact"/>
              <w:jc w:val="center"/>
              <w:rPr>
                <w:rFonts w:ascii="仿宋_GB2312" w:hAnsi="宋体" w:eastAsia="仿宋_GB2312" w:cs="宋体"/>
                <w:color w:val="000000"/>
                <w:sz w:val="24"/>
              </w:rPr>
            </w:pPr>
          </w:p>
        </w:tc>
        <w:tc>
          <w:tcPr>
            <w:tcW w:w="1677" w:type="dxa"/>
            <w:vMerge w:val="continue"/>
            <w:vAlign w:val="center"/>
          </w:tcPr>
          <w:p>
            <w:pPr>
              <w:adjustRightInd w:val="0"/>
              <w:snapToGrid w:val="0"/>
              <w:spacing w:line="280" w:lineRule="exact"/>
              <w:jc w:val="center"/>
              <w:rPr>
                <w:rFonts w:ascii="仿宋_GB2312" w:hAnsi="宋体" w:eastAsia="仿宋_GB2312" w:cs="宋体"/>
                <w:color w:val="000000"/>
                <w:sz w:val="24"/>
              </w:rPr>
            </w:pPr>
          </w:p>
        </w:tc>
        <w:tc>
          <w:tcPr>
            <w:tcW w:w="8616" w:type="dxa"/>
            <w:vAlign w:val="center"/>
          </w:tcPr>
          <w:p>
            <w:pPr>
              <w:adjustRightInd w:val="0"/>
              <w:snapToGrid w:val="0"/>
              <w:spacing w:line="280" w:lineRule="exact"/>
              <w:rPr>
                <w:rFonts w:ascii="仿宋_GB2312" w:hAnsi="宋体" w:eastAsia="仿宋_GB2312"/>
                <w:color w:val="000000"/>
                <w:sz w:val="24"/>
              </w:rPr>
            </w:pPr>
            <w:r>
              <w:rPr>
                <w:rFonts w:hint="eastAsia" w:ascii="仿宋_GB2312" w:hAnsi="宋体" w:eastAsia="仿宋_GB2312"/>
                <w:color w:val="000000"/>
                <w:sz w:val="24"/>
              </w:rPr>
              <w:t xml:space="preserve">违反师德师风要求造成较坏影响的，一次减10分；师生被刑事处理的,一票否决； </w:t>
            </w:r>
          </w:p>
        </w:tc>
        <w:tc>
          <w:tcPr>
            <w:tcW w:w="1887" w:type="dxa"/>
            <w:vAlign w:val="center"/>
          </w:tcPr>
          <w:p>
            <w:pPr>
              <w:adjustRightInd w:val="0"/>
              <w:snapToGrid w:val="0"/>
              <w:spacing w:line="28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630" w:type="dxa"/>
            <w:vMerge w:val="continue"/>
            <w:vAlign w:val="center"/>
          </w:tcPr>
          <w:p>
            <w:pPr>
              <w:adjustRightInd w:val="0"/>
              <w:snapToGrid w:val="0"/>
              <w:spacing w:line="280" w:lineRule="exact"/>
              <w:jc w:val="center"/>
              <w:rPr>
                <w:rFonts w:ascii="黑体" w:hAnsi="黑体" w:eastAsia="黑体" w:cs="宋体"/>
                <w:color w:val="000000"/>
                <w:sz w:val="24"/>
              </w:rPr>
            </w:pPr>
          </w:p>
        </w:tc>
        <w:tc>
          <w:tcPr>
            <w:tcW w:w="1677" w:type="dxa"/>
            <w:vMerge w:val="continue"/>
            <w:vAlign w:val="center"/>
          </w:tcPr>
          <w:p>
            <w:pPr>
              <w:adjustRightInd w:val="0"/>
              <w:snapToGrid w:val="0"/>
              <w:spacing w:line="280" w:lineRule="exact"/>
              <w:jc w:val="center"/>
              <w:rPr>
                <w:rFonts w:ascii="黑体" w:hAnsi="黑体" w:eastAsia="黑体" w:cs="宋体"/>
                <w:color w:val="000000"/>
                <w:sz w:val="24"/>
              </w:rPr>
            </w:pPr>
          </w:p>
        </w:tc>
        <w:tc>
          <w:tcPr>
            <w:tcW w:w="8616" w:type="dxa"/>
            <w:vAlign w:val="center"/>
          </w:tcPr>
          <w:p>
            <w:pPr>
              <w:adjustRightInd w:val="0"/>
              <w:snapToGrid w:val="0"/>
              <w:spacing w:line="280" w:lineRule="exact"/>
              <w:rPr>
                <w:rFonts w:ascii="黑体" w:hAnsi="黑体" w:eastAsia="黑体"/>
                <w:color w:val="000000"/>
                <w:sz w:val="24"/>
              </w:rPr>
            </w:pPr>
            <w:r>
              <w:rPr>
                <w:rFonts w:hint="eastAsia" w:ascii="仿宋_GB2312" w:hAnsi="宋体" w:eastAsia="仿宋_GB2312"/>
                <w:color w:val="000000"/>
                <w:sz w:val="24"/>
              </w:rPr>
              <w:t xml:space="preserve">因工作差错而造成重大经济损失和恶劣影响的减10分; </w:t>
            </w:r>
          </w:p>
        </w:tc>
        <w:tc>
          <w:tcPr>
            <w:tcW w:w="1887" w:type="dxa"/>
            <w:vAlign w:val="center"/>
          </w:tcPr>
          <w:p>
            <w:pPr>
              <w:adjustRightInd w:val="0"/>
              <w:snapToGrid w:val="0"/>
              <w:spacing w:line="280" w:lineRule="exact"/>
              <w:ind w:right="-124"/>
              <w:jc w:val="center"/>
              <w:rPr>
                <w:rFonts w:hint="eastAsia" w:asciiTheme="minorEastAsia" w:hAnsiTheme="minorEastAsia" w:eastAsiaTheme="minorEastAsia" w:cstheme="minorEastAsia"/>
                <w:bCs/>
                <w:color w:val="000000"/>
                <w:spacing w:val="-20"/>
                <w:sz w:val="24"/>
              </w:rPr>
            </w:pPr>
            <w:r>
              <w:rPr>
                <w:rFonts w:hint="eastAsia" w:asciiTheme="minorEastAsia" w:hAnsiTheme="minorEastAsia" w:eastAsiaTheme="minorEastAsia" w:cstheme="minorEastAsia"/>
                <w:bCs/>
                <w:color w:val="000000"/>
                <w:spacing w:val="-20"/>
                <w:sz w:val="24"/>
              </w:rPr>
              <w:t>组织人事部</w:t>
            </w:r>
          </w:p>
          <w:p>
            <w:pPr>
              <w:adjustRightInd w:val="0"/>
              <w:snapToGrid w:val="0"/>
              <w:spacing w:line="280" w:lineRule="exact"/>
              <w:ind w:right="-124"/>
              <w:jc w:val="center"/>
              <w:rPr>
                <w:rFonts w:hint="eastAsia" w:asciiTheme="minorEastAsia" w:hAnsiTheme="minorEastAsia" w:eastAsiaTheme="minorEastAsia" w:cstheme="minorEastAsia"/>
                <w:bCs/>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630" w:type="dxa"/>
            <w:vMerge w:val="continue"/>
            <w:vAlign w:val="center"/>
          </w:tcPr>
          <w:p>
            <w:pPr>
              <w:adjustRightInd w:val="0"/>
              <w:snapToGrid w:val="0"/>
              <w:spacing w:line="280" w:lineRule="exact"/>
              <w:jc w:val="center"/>
              <w:rPr>
                <w:rFonts w:ascii="仿宋_GB2312" w:hAnsi="宋体" w:eastAsia="仿宋_GB2312" w:cs="宋体"/>
                <w:color w:val="000000"/>
                <w:sz w:val="24"/>
              </w:rPr>
            </w:pPr>
          </w:p>
        </w:tc>
        <w:tc>
          <w:tcPr>
            <w:tcW w:w="1677" w:type="dxa"/>
            <w:vMerge w:val="continue"/>
            <w:vAlign w:val="center"/>
          </w:tcPr>
          <w:p>
            <w:pPr>
              <w:adjustRightInd w:val="0"/>
              <w:snapToGrid w:val="0"/>
              <w:spacing w:line="280" w:lineRule="exact"/>
              <w:jc w:val="center"/>
              <w:rPr>
                <w:rFonts w:ascii="仿宋_GB2312" w:hAnsi="宋体" w:eastAsia="仿宋_GB2312" w:cs="宋体"/>
                <w:color w:val="000000"/>
                <w:sz w:val="24"/>
              </w:rPr>
            </w:pPr>
          </w:p>
        </w:tc>
        <w:tc>
          <w:tcPr>
            <w:tcW w:w="8616" w:type="dxa"/>
            <w:vAlign w:val="center"/>
          </w:tcPr>
          <w:p>
            <w:pPr>
              <w:adjustRightInd w:val="0"/>
              <w:snapToGrid w:val="0"/>
              <w:spacing w:line="280" w:lineRule="exact"/>
              <w:rPr>
                <w:rFonts w:ascii="黑体" w:hAnsi="黑体" w:eastAsia="黑体" w:cs="宋体"/>
                <w:bCs/>
                <w:color w:val="000000"/>
                <w:sz w:val="24"/>
              </w:rPr>
            </w:pPr>
            <w:r>
              <w:rPr>
                <w:rFonts w:hint="eastAsia" w:ascii="仿宋_GB2312" w:hAnsi="宋体" w:eastAsia="仿宋_GB2312"/>
                <w:color w:val="000000"/>
                <w:sz w:val="24"/>
              </w:rPr>
              <w:t>经过学院认定有其他严重问题的,如有群众举报经查实的、违反财经纪律、教学或行政事故等违纪违规现象减10分。</w:t>
            </w:r>
          </w:p>
        </w:tc>
        <w:tc>
          <w:tcPr>
            <w:tcW w:w="1887" w:type="dxa"/>
            <w:vAlign w:val="center"/>
          </w:tcPr>
          <w:p>
            <w:pPr>
              <w:adjustRightInd w:val="0"/>
              <w:snapToGrid w:val="0"/>
              <w:spacing w:line="280" w:lineRule="exact"/>
              <w:ind w:right="-124"/>
              <w:jc w:val="center"/>
              <w:rPr>
                <w:rFonts w:hint="eastAsia" w:asciiTheme="minorEastAsia" w:hAnsiTheme="minorEastAsia" w:eastAsiaTheme="minorEastAsia" w:cstheme="minorEastAsia"/>
                <w:bCs/>
                <w:color w:val="000000"/>
                <w:spacing w:val="-20"/>
                <w:sz w:val="24"/>
              </w:rPr>
            </w:pPr>
          </w:p>
          <w:p>
            <w:pPr>
              <w:adjustRightInd w:val="0"/>
              <w:snapToGrid w:val="0"/>
              <w:spacing w:line="280" w:lineRule="exact"/>
              <w:ind w:right="-124"/>
              <w:jc w:val="center"/>
              <w:rPr>
                <w:rFonts w:hint="eastAsia" w:asciiTheme="minorEastAsia" w:hAnsiTheme="minorEastAsia" w:eastAsiaTheme="minorEastAsia" w:cstheme="minorEastAsia"/>
                <w:bCs/>
                <w:color w:val="000000"/>
                <w:spacing w:val="-20"/>
                <w:sz w:val="24"/>
              </w:rPr>
            </w:pPr>
            <w:r>
              <w:rPr>
                <w:rFonts w:hint="eastAsia" w:asciiTheme="minorEastAsia" w:hAnsiTheme="minorEastAsia" w:eastAsiaTheme="minorEastAsia" w:cstheme="minorEastAsia"/>
                <w:bCs/>
                <w:color w:val="000000"/>
                <w:spacing w:val="-20"/>
                <w:sz w:val="24"/>
              </w:rPr>
              <w:t>办公室</w:t>
            </w:r>
          </w:p>
          <w:p>
            <w:pPr>
              <w:adjustRightInd w:val="0"/>
              <w:snapToGrid w:val="0"/>
              <w:spacing w:line="280" w:lineRule="exact"/>
              <w:ind w:right="-124"/>
              <w:jc w:val="center"/>
              <w:rPr>
                <w:rFonts w:hint="eastAsia" w:asciiTheme="minorEastAsia" w:hAnsiTheme="minorEastAsia" w:eastAsiaTheme="minorEastAsia" w:cstheme="minorEastAsia"/>
                <w:b/>
                <w:bCs/>
                <w:color w:val="000000"/>
                <w:spacing w:val="-20"/>
                <w:sz w:val="24"/>
              </w:rPr>
            </w:pPr>
          </w:p>
        </w:tc>
      </w:tr>
    </w:tbl>
    <w:p>
      <w:pPr>
        <w:pStyle w:val="2"/>
      </w:pPr>
    </w:p>
    <w:p>
      <w:pPr>
        <w:pStyle w:val="2"/>
        <w:sectPr>
          <w:pgSz w:w="16838" w:h="11906" w:orient="landscape"/>
          <w:pgMar w:top="1077" w:right="1440" w:bottom="1077" w:left="1440" w:header="851" w:footer="992" w:gutter="0"/>
          <w:pgNumType w:fmt="numberInDash"/>
          <w:cols w:space="425" w:num="1"/>
          <w:docGrid w:type="lines" w:linePitch="312" w:charSpace="0"/>
        </w:sectPr>
      </w:pPr>
    </w:p>
    <w:p>
      <w:pPr>
        <w:rPr>
          <w:rFonts w:ascii="仿宋_GB2312" w:eastAsia="仿宋_GB2312"/>
          <w:color w:val="000000"/>
          <w:sz w:val="32"/>
          <w:szCs w:val="32"/>
        </w:rPr>
      </w:pPr>
      <w:r>
        <w:rPr>
          <w:rFonts w:hint="eastAsia" w:ascii="黑体" w:hAnsi="黑体" w:eastAsia="黑体" w:cs="黑体"/>
          <w:color w:val="000000"/>
          <w:sz w:val="32"/>
          <w:szCs w:val="32"/>
          <w:lang w:val="en-US" w:eastAsia="zh-CN"/>
        </w:rPr>
        <w:t>附件6</w:t>
      </w:r>
      <w:r>
        <w:rPr>
          <w:rFonts w:hint="eastAsia" w:ascii="仿宋_GB2312" w:eastAsia="仿宋_GB2312"/>
          <w:color w:val="000000"/>
          <w:sz w:val="32"/>
          <w:szCs w:val="32"/>
        </w:rPr>
        <w:t xml:space="preserve">       </w:t>
      </w:r>
    </w:p>
    <w:p>
      <w:pPr>
        <w:widowControl/>
        <w:adjustRightInd w:val="0"/>
        <w:snapToGrid w:val="0"/>
        <w:spacing w:after="156" w:afterLines="50" w:line="600" w:lineRule="exact"/>
        <w:jc w:val="center"/>
        <w:rPr>
          <w:rFonts w:hint="eastAsia" w:ascii="方正小标宋简体" w:hAnsi="方正小标宋_GBK" w:eastAsia="方正小标宋简体" w:cs="方正小标宋_GBK"/>
          <w:bCs/>
          <w:color w:val="000000"/>
          <w:kern w:val="0"/>
          <w:sz w:val="44"/>
          <w:szCs w:val="44"/>
        </w:rPr>
      </w:pPr>
      <w:r>
        <w:rPr>
          <w:rFonts w:hint="eastAsia" w:ascii="方正小标宋简体" w:hAnsi="方正小标宋_GBK" w:eastAsia="方正小标宋简体" w:cs="方正小标宋_GBK"/>
          <w:bCs/>
          <w:color w:val="000000"/>
          <w:kern w:val="0"/>
          <w:sz w:val="44"/>
          <w:szCs w:val="44"/>
        </w:rPr>
        <w:t>教学</w:t>
      </w:r>
      <w:r>
        <w:rPr>
          <w:rFonts w:hint="eastAsia" w:ascii="方正小标宋简体" w:hAnsi="方正小标宋_GBK" w:eastAsia="方正小标宋简体" w:cs="方正小标宋_GBK"/>
          <w:bCs/>
          <w:color w:val="000000"/>
          <w:kern w:val="0"/>
          <w:sz w:val="44"/>
          <w:szCs w:val="44"/>
          <w:lang w:val="en-US" w:eastAsia="zh-CN"/>
        </w:rPr>
        <w:t>部门</w:t>
      </w:r>
      <w:r>
        <w:rPr>
          <w:rFonts w:hint="eastAsia" w:ascii="方正小标宋简体" w:hAnsi="方正小标宋_GBK" w:eastAsia="方正小标宋简体" w:cs="方正小标宋_GBK"/>
          <w:bCs/>
          <w:color w:val="000000"/>
          <w:kern w:val="0"/>
          <w:sz w:val="44"/>
          <w:szCs w:val="44"/>
        </w:rPr>
        <w:t>工作民主测评表</w:t>
      </w:r>
    </w:p>
    <w:p>
      <w:pPr>
        <w:ind w:firstLine="4" w:firstLineChars="1"/>
        <w:jc w:val="center"/>
        <w:rPr>
          <w:rFonts w:ascii="新宋体" w:hAnsi="新宋体" w:eastAsia="新宋体"/>
          <w:b/>
          <w:color w:val="000000"/>
          <w:sz w:val="36"/>
          <w:szCs w:val="36"/>
        </w:rPr>
      </w:pPr>
      <w:r>
        <w:rPr>
          <w:rFonts w:hint="eastAsia" w:ascii="新宋体" w:hAnsi="新宋体" w:eastAsia="新宋体"/>
          <w:b/>
          <w:color w:val="000000"/>
          <w:sz w:val="36"/>
          <w:szCs w:val="36"/>
        </w:rPr>
        <w:t xml:space="preserve">  </w:t>
      </w:r>
    </w:p>
    <w:tbl>
      <w:tblPr>
        <w:tblStyle w:val="7"/>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174"/>
        <w:gridCol w:w="1175"/>
        <w:gridCol w:w="1175"/>
        <w:gridCol w:w="1175"/>
        <w:gridCol w:w="117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647" w:type="dxa"/>
            <w:vAlign w:val="center"/>
          </w:tcPr>
          <w:p>
            <w:pPr>
              <w:jc w:val="center"/>
              <w:rPr>
                <w:rFonts w:ascii="黑体" w:hAnsi="黑体" w:eastAsia="黑体" w:cs="黑体"/>
                <w:bCs/>
                <w:color w:val="000000"/>
                <w:sz w:val="28"/>
                <w:szCs w:val="28"/>
              </w:rPr>
            </w:pPr>
            <w:r>
              <w:rPr>
                <w:rFonts w:hint="eastAsia" w:ascii="黑体" w:hAnsi="黑体" w:eastAsia="黑体" w:cs="黑体"/>
                <w:bCs/>
                <w:color w:val="000000"/>
                <w:sz w:val="28"/>
                <w:szCs w:val="28"/>
                <w:lang w:val="en-US" w:eastAsia="zh-CN"/>
              </w:rPr>
              <w:t>教学部门</w:t>
            </w:r>
          </w:p>
        </w:tc>
        <w:tc>
          <w:tcPr>
            <w:tcW w:w="1174" w:type="dxa"/>
            <w:vAlign w:val="center"/>
          </w:tcPr>
          <w:p>
            <w:pPr>
              <w:jc w:val="center"/>
              <w:rPr>
                <w:rFonts w:ascii="黑体" w:hAnsi="黑体" w:eastAsia="黑体" w:cs="黑体"/>
                <w:bCs/>
                <w:color w:val="000000"/>
                <w:sz w:val="24"/>
              </w:rPr>
            </w:pPr>
            <w:r>
              <w:rPr>
                <w:rFonts w:hint="eastAsia" w:ascii="黑体" w:hAnsi="黑体" w:eastAsia="黑体" w:cs="黑体"/>
                <w:bCs/>
                <w:color w:val="000000"/>
                <w:sz w:val="24"/>
              </w:rPr>
              <w:t>教学</w:t>
            </w:r>
          </w:p>
          <w:p>
            <w:pPr>
              <w:jc w:val="center"/>
              <w:rPr>
                <w:rFonts w:ascii="黑体" w:hAnsi="黑体" w:eastAsia="黑体" w:cs="黑体"/>
                <w:bCs/>
                <w:color w:val="000000"/>
                <w:sz w:val="24"/>
              </w:rPr>
            </w:pPr>
            <w:r>
              <w:rPr>
                <w:rFonts w:hint="eastAsia" w:ascii="黑体" w:hAnsi="黑体" w:eastAsia="黑体" w:cs="黑体"/>
                <w:bCs/>
                <w:color w:val="000000"/>
                <w:sz w:val="24"/>
              </w:rPr>
              <w:t>工作</w:t>
            </w:r>
          </w:p>
        </w:tc>
        <w:tc>
          <w:tcPr>
            <w:tcW w:w="1175" w:type="dxa"/>
            <w:vAlign w:val="center"/>
          </w:tcPr>
          <w:p>
            <w:pPr>
              <w:jc w:val="center"/>
              <w:rPr>
                <w:rFonts w:ascii="黑体" w:hAnsi="黑体" w:eastAsia="黑体" w:cs="黑体"/>
                <w:bCs/>
                <w:color w:val="000000"/>
                <w:sz w:val="24"/>
              </w:rPr>
            </w:pPr>
            <w:r>
              <w:rPr>
                <w:rFonts w:hint="eastAsia" w:ascii="黑体" w:hAnsi="黑体" w:eastAsia="黑体" w:cs="黑体"/>
                <w:bCs/>
                <w:color w:val="000000"/>
                <w:sz w:val="24"/>
              </w:rPr>
              <w:t>学生</w:t>
            </w:r>
          </w:p>
          <w:p>
            <w:pPr>
              <w:jc w:val="center"/>
              <w:rPr>
                <w:rFonts w:ascii="黑体" w:hAnsi="黑体" w:eastAsia="黑体" w:cs="黑体"/>
                <w:bCs/>
                <w:color w:val="000000"/>
                <w:sz w:val="24"/>
              </w:rPr>
            </w:pPr>
            <w:r>
              <w:rPr>
                <w:rFonts w:hint="eastAsia" w:ascii="黑体" w:hAnsi="黑体" w:eastAsia="黑体" w:cs="黑体"/>
                <w:bCs/>
                <w:color w:val="000000"/>
                <w:sz w:val="24"/>
              </w:rPr>
              <w:t>工作</w:t>
            </w:r>
          </w:p>
        </w:tc>
        <w:tc>
          <w:tcPr>
            <w:tcW w:w="1175" w:type="dxa"/>
            <w:vAlign w:val="center"/>
          </w:tcPr>
          <w:p>
            <w:pPr>
              <w:jc w:val="center"/>
              <w:rPr>
                <w:rFonts w:ascii="黑体" w:hAnsi="黑体" w:eastAsia="黑体" w:cs="黑体"/>
                <w:bCs/>
                <w:color w:val="000000"/>
                <w:sz w:val="24"/>
              </w:rPr>
            </w:pPr>
            <w:r>
              <w:rPr>
                <w:rFonts w:hint="eastAsia" w:ascii="黑体" w:hAnsi="黑体" w:eastAsia="黑体" w:cs="黑体"/>
                <w:bCs/>
                <w:color w:val="000000"/>
                <w:sz w:val="24"/>
              </w:rPr>
              <w:t>队伍</w:t>
            </w:r>
          </w:p>
          <w:p>
            <w:pPr>
              <w:jc w:val="center"/>
              <w:rPr>
                <w:rFonts w:ascii="黑体" w:hAnsi="黑体" w:eastAsia="黑体" w:cs="黑体"/>
                <w:bCs/>
                <w:color w:val="000000"/>
                <w:sz w:val="24"/>
              </w:rPr>
            </w:pPr>
            <w:r>
              <w:rPr>
                <w:rFonts w:hint="eastAsia" w:ascii="黑体" w:hAnsi="黑体" w:eastAsia="黑体" w:cs="黑体"/>
                <w:bCs/>
                <w:color w:val="000000"/>
                <w:sz w:val="24"/>
              </w:rPr>
              <w:t>建设</w:t>
            </w:r>
          </w:p>
        </w:tc>
        <w:tc>
          <w:tcPr>
            <w:tcW w:w="1175" w:type="dxa"/>
            <w:vAlign w:val="center"/>
          </w:tcPr>
          <w:p>
            <w:pPr>
              <w:jc w:val="center"/>
              <w:rPr>
                <w:rFonts w:ascii="黑体" w:hAnsi="黑体" w:eastAsia="黑体" w:cs="黑体"/>
                <w:bCs/>
                <w:color w:val="000000"/>
                <w:sz w:val="24"/>
              </w:rPr>
            </w:pPr>
            <w:r>
              <w:rPr>
                <w:rFonts w:hint="eastAsia" w:ascii="黑体" w:hAnsi="黑体" w:eastAsia="黑体" w:cs="黑体"/>
                <w:bCs/>
                <w:color w:val="000000"/>
                <w:sz w:val="24"/>
              </w:rPr>
              <w:t>育人</w:t>
            </w:r>
          </w:p>
          <w:p>
            <w:pPr>
              <w:jc w:val="center"/>
              <w:rPr>
                <w:rFonts w:ascii="黑体" w:hAnsi="黑体" w:eastAsia="黑体" w:cs="黑体"/>
                <w:bCs/>
                <w:color w:val="000000"/>
                <w:sz w:val="24"/>
              </w:rPr>
            </w:pPr>
            <w:r>
              <w:rPr>
                <w:rFonts w:hint="eastAsia" w:ascii="黑体" w:hAnsi="黑体" w:eastAsia="黑体" w:cs="黑体"/>
                <w:bCs/>
                <w:color w:val="000000"/>
                <w:sz w:val="24"/>
              </w:rPr>
              <w:t>环境</w:t>
            </w:r>
          </w:p>
        </w:tc>
        <w:tc>
          <w:tcPr>
            <w:tcW w:w="1175" w:type="dxa"/>
            <w:vAlign w:val="center"/>
          </w:tcPr>
          <w:p>
            <w:pPr>
              <w:jc w:val="center"/>
              <w:rPr>
                <w:rFonts w:ascii="黑体" w:hAnsi="黑体" w:eastAsia="黑体" w:cs="黑体"/>
                <w:bCs/>
                <w:color w:val="000000"/>
                <w:sz w:val="24"/>
              </w:rPr>
            </w:pPr>
            <w:r>
              <w:rPr>
                <w:rFonts w:hint="eastAsia" w:ascii="黑体" w:hAnsi="黑体" w:eastAsia="黑体" w:cs="黑体"/>
                <w:bCs/>
                <w:color w:val="000000"/>
                <w:sz w:val="24"/>
              </w:rPr>
              <w:t>其他</w:t>
            </w:r>
          </w:p>
          <w:p>
            <w:pPr>
              <w:jc w:val="center"/>
              <w:rPr>
                <w:rFonts w:ascii="黑体" w:hAnsi="黑体" w:eastAsia="黑体" w:cs="黑体"/>
                <w:bCs/>
                <w:color w:val="000000"/>
                <w:sz w:val="24"/>
              </w:rPr>
            </w:pPr>
            <w:r>
              <w:rPr>
                <w:rFonts w:hint="eastAsia" w:ascii="黑体" w:hAnsi="黑体" w:eastAsia="黑体" w:cs="黑体"/>
                <w:bCs/>
                <w:color w:val="000000"/>
                <w:sz w:val="24"/>
              </w:rPr>
              <w:t>工作</w:t>
            </w:r>
          </w:p>
        </w:tc>
        <w:tc>
          <w:tcPr>
            <w:tcW w:w="1219" w:type="dxa"/>
            <w:vAlign w:val="center"/>
          </w:tcPr>
          <w:p>
            <w:pPr>
              <w:jc w:val="center"/>
              <w:rPr>
                <w:rFonts w:ascii="黑体" w:hAnsi="黑体" w:eastAsia="黑体" w:cs="黑体"/>
                <w:bCs/>
                <w:color w:val="000000"/>
                <w:sz w:val="32"/>
                <w:szCs w:val="32"/>
              </w:rPr>
            </w:pPr>
            <w:r>
              <w:rPr>
                <w:rFonts w:hint="eastAsia" w:ascii="黑体" w:hAnsi="黑体" w:eastAsia="黑体" w:cs="黑体"/>
                <w:bCs/>
                <w:color w:val="000000"/>
                <w:sz w:val="32"/>
                <w:szCs w:val="32"/>
              </w:rPr>
              <w:t>总</w:t>
            </w:r>
            <w:r>
              <w:rPr>
                <w:rFonts w:hint="eastAsia" w:ascii="黑体" w:hAnsi="黑体" w:eastAsia="黑体" w:cs="黑体"/>
                <w:bCs/>
                <w:color w:val="000000"/>
                <w:szCs w:val="21"/>
              </w:rPr>
              <w:t xml:space="preserve"> </w:t>
            </w:r>
            <w:r>
              <w:rPr>
                <w:rFonts w:hint="eastAsia" w:ascii="黑体" w:hAnsi="黑体" w:eastAsia="黑体" w:cs="黑体"/>
                <w:bCs/>
                <w:color w:val="000000"/>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647"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机械工程系</w:t>
            </w:r>
          </w:p>
        </w:tc>
        <w:tc>
          <w:tcPr>
            <w:tcW w:w="1174"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219" w:type="dxa"/>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647"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电气工程系</w:t>
            </w:r>
          </w:p>
        </w:tc>
        <w:tc>
          <w:tcPr>
            <w:tcW w:w="1174"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219" w:type="dxa"/>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647"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信息工程系</w:t>
            </w:r>
          </w:p>
        </w:tc>
        <w:tc>
          <w:tcPr>
            <w:tcW w:w="1174"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219" w:type="dxa"/>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647"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建筑工程系</w:t>
            </w:r>
          </w:p>
        </w:tc>
        <w:tc>
          <w:tcPr>
            <w:tcW w:w="1174"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219" w:type="dxa"/>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647"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医学技术系</w:t>
            </w:r>
          </w:p>
        </w:tc>
        <w:tc>
          <w:tcPr>
            <w:tcW w:w="1174"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219" w:type="dxa"/>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647" w:type="dxa"/>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基础部</w:t>
            </w:r>
          </w:p>
        </w:tc>
        <w:tc>
          <w:tcPr>
            <w:tcW w:w="1174"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219" w:type="dxa"/>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647" w:type="dxa"/>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继续教育</w:t>
            </w:r>
          </w:p>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中心</w:t>
            </w:r>
          </w:p>
        </w:tc>
        <w:tc>
          <w:tcPr>
            <w:tcW w:w="1174"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175" w:type="dxa"/>
            <w:vAlign w:val="center"/>
          </w:tcPr>
          <w:p>
            <w:pPr>
              <w:jc w:val="center"/>
              <w:rPr>
                <w:rFonts w:ascii="仿宋_GB2312" w:eastAsia="仿宋_GB2312"/>
                <w:color w:val="000000"/>
                <w:sz w:val="24"/>
              </w:rPr>
            </w:pPr>
          </w:p>
        </w:tc>
        <w:tc>
          <w:tcPr>
            <w:tcW w:w="1219" w:type="dxa"/>
          </w:tcPr>
          <w:p>
            <w:pPr>
              <w:jc w:val="center"/>
              <w:rPr>
                <w:rFonts w:ascii="仿宋_GB2312" w:eastAsia="仿宋_GB2312"/>
                <w:color w:val="000000"/>
                <w:sz w:val="24"/>
              </w:rPr>
            </w:pPr>
          </w:p>
        </w:tc>
      </w:tr>
    </w:tbl>
    <w:p>
      <w:pPr>
        <w:spacing w:line="520" w:lineRule="exact"/>
        <w:ind w:firstLine="640" w:firstLineChars="200"/>
        <w:rPr>
          <w:rFonts w:hint="eastAsia" w:ascii="仿宋_GB2312" w:eastAsia="仿宋_GB2312"/>
          <w:color w:val="000000"/>
          <w:sz w:val="32"/>
          <w:szCs w:val="32"/>
        </w:rPr>
        <w:sectPr>
          <w:pgSz w:w="11906" w:h="16838"/>
          <w:pgMar w:top="1440" w:right="1077" w:bottom="1440" w:left="1077" w:header="851" w:footer="992" w:gutter="0"/>
          <w:pgNumType w:fmt="numberInDash"/>
          <w:cols w:space="425" w:num="1"/>
          <w:docGrid w:type="lines" w:linePitch="312" w:charSpace="0"/>
        </w:sectPr>
      </w:pPr>
      <w:r>
        <w:rPr>
          <w:rFonts w:hint="eastAsia" w:ascii="黑体" w:eastAsia="黑体"/>
          <w:color w:val="000000"/>
          <w:sz w:val="32"/>
          <w:szCs w:val="32"/>
        </w:rPr>
        <w:t>说明</w:t>
      </w:r>
      <w:r>
        <w:rPr>
          <w:rFonts w:hint="eastAsia" w:ascii="仿宋_GB2312" w:eastAsia="仿宋_GB2312"/>
          <w:color w:val="000000"/>
          <w:sz w:val="32"/>
          <w:szCs w:val="32"/>
        </w:rPr>
        <w:t>：必须打出总分（</w:t>
      </w:r>
      <w:r>
        <w:rPr>
          <w:rFonts w:eastAsia="仿宋_GB2312"/>
          <w:color w:val="000000"/>
          <w:sz w:val="32"/>
          <w:szCs w:val="32"/>
        </w:rPr>
        <w:t>100</w:t>
      </w:r>
      <w:r>
        <w:rPr>
          <w:rFonts w:hint="eastAsia" w:ascii="仿宋_GB2312" w:eastAsia="仿宋_GB2312"/>
          <w:color w:val="000000"/>
          <w:sz w:val="32"/>
          <w:szCs w:val="32"/>
        </w:rPr>
        <w:t>分制）</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7</w:t>
      </w:r>
    </w:p>
    <w:p>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hAnsi="微软雅黑" w:eastAsia="方正小标宋简体"/>
          <w:color w:val="333949"/>
          <w:sz w:val="44"/>
          <w:szCs w:val="44"/>
          <w:lang w:val="zh-CN"/>
        </w:rPr>
      </w:pPr>
      <w:r>
        <w:rPr>
          <w:rFonts w:hint="eastAsia" w:ascii="方正小标宋简体" w:hAnsi="微软雅黑" w:eastAsia="方正小标宋简体"/>
          <w:color w:val="333949"/>
          <w:sz w:val="44"/>
          <w:szCs w:val="44"/>
          <w:lang w:val="en-US" w:eastAsia="zh-CN"/>
        </w:rPr>
        <w:t>教学部门</w:t>
      </w:r>
      <w:r>
        <w:rPr>
          <w:rFonts w:hint="eastAsia" w:ascii="方正小标宋简体" w:hAnsi="微软雅黑" w:eastAsia="方正小标宋简体"/>
          <w:color w:val="333949"/>
          <w:sz w:val="44"/>
          <w:szCs w:val="44"/>
          <w:lang w:val="zh-CN"/>
        </w:rPr>
        <w:t>不得确定为优秀等次事项</w:t>
      </w:r>
    </w:p>
    <w:p>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hAnsi="微软雅黑" w:eastAsia="方正小标宋简体"/>
          <w:color w:val="333949"/>
          <w:sz w:val="44"/>
          <w:szCs w:val="44"/>
          <w:lang w:val="zh-CN"/>
        </w:rPr>
      </w:pPr>
      <w:r>
        <w:rPr>
          <w:rFonts w:hint="eastAsia" w:ascii="方正小标宋简体" w:hAnsi="微软雅黑" w:eastAsia="方正小标宋简体"/>
          <w:color w:val="333949"/>
          <w:sz w:val="44"/>
          <w:szCs w:val="44"/>
          <w:lang w:val="zh-CN"/>
        </w:rPr>
        <w:t>和直接确定为较差等次事项</w:t>
      </w:r>
    </w:p>
    <w:p>
      <w:pPr>
        <w:spacing w:line="520" w:lineRule="exact"/>
        <w:ind w:firstLine="320" w:firstLineChars="100"/>
        <w:jc w:val="left"/>
        <w:rPr>
          <w:rFonts w:hint="eastAsia" w:ascii="黑体" w:hAnsi="黑体" w:eastAsia="黑体"/>
          <w:color w:val="333949"/>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黑体" w:hAnsi="黑体" w:eastAsia="黑体"/>
          <w:color w:val="333949"/>
          <w:sz w:val="32"/>
          <w:szCs w:val="32"/>
          <w:lang w:val="zh-CN"/>
        </w:rPr>
      </w:pPr>
      <w:r>
        <w:rPr>
          <w:rFonts w:hint="eastAsia" w:ascii="黑体" w:hAnsi="黑体" w:eastAsia="黑体"/>
          <w:color w:val="333949"/>
          <w:sz w:val="32"/>
          <w:szCs w:val="32"/>
          <w:lang w:val="zh-CN"/>
        </w:rPr>
        <w:t>一、不得确定为优秀等次事项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（一）</w:t>
      </w:r>
      <w:r>
        <w:rPr>
          <w:rFonts w:hint="eastAsia" w:ascii="仿宋_GB2312" w:eastAsia="仿宋_GB2312"/>
          <w:sz w:val="32"/>
          <w:szCs w:val="32"/>
        </w:rPr>
        <w:t>党建思政工作达不到85分的</w:t>
      </w:r>
      <w:r>
        <w:rPr>
          <w:rFonts w:hint="eastAsia" w:ascii="仿宋_GB2312" w:hAnsi="微软雅黑" w:eastAsia="仿宋_GB2312"/>
          <w:color w:val="333949"/>
          <w:sz w:val="32"/>
          <w:szCs w:val="32"/>
          <w:lang w:val="zh-CN"/>
        </w:rPr>
        <w:t>，或受到行政处罚的，或被问责的；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（二）部门工作人员受到党纪、政纪处分或法律追究的；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eastAsia="仿宋_GB2312"/>
          <w:sz w:val="32"/>
          <w:szCs w:val="32"/>
        </w:rPr>
      </w:pPr>
      <w:r>
        <w:rPr>
          <w:rFonts w:hint="eastAsia" w:ascii="仿宋_GB2312" w:hAnsi="微软雅黑" w:eastAsia="仿宋_GB2312"/>
          <w:color w:val="333949"/>
          <w:sz w:val="32"/>
          <w:szCs w:val="32"/>
          <w:lang w:val="zh-CN"/>
        </w:rPr>
        <w:t>（三）</w:t>
      </w:r>
      <w:r>
        <w:rPr>
          <w:rFonts w:hint="eastAsia" w:ascii="仿宋_GB2312" w:eastAsia="仿宋_GB2312"/>
          <w:sz w:val="32"/>
          <w:szCs w:val="32"/>
        </w:rPr>
        <w:t xml:space="preserve">发生群体性事件或对突发事件处置不当，造成一定影响的；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（四）</w:t>
      </w:r>
      <w:r>
        <w:rPr>
          <w:rFonts w:hint="eastAsia" w:ascii="仿宋_GB2312" w:eastAsia="仿宋_GB2312"/>
          <w:sz w:val="32"/>
          <w:szCs w:val="32"/>
        </w:rPr>
        <w:t>发生严重教学事故或发现师德师风问题，经认定为管理责任的；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（五）其他造成不良社会影响的。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黑体" w:hAnsi="黑体" w:eastAsia="黑体"/>
          <w:color w:val="333949"/>
          <w:sz w:val="32"/>
          <w:szCs w:val="32"/>
          <w:lang w:val="zh-CN"/>
        </w:rPr>
      </w:pPr>
      <w:r>
        <w:rPr>
          <w:rFonts w:hint="eastAsia" w:ascii="黑体" w:hAnsi="黑体" w:eastAsia="黑体"/>
          <w:color w:val="333949"/>
          <w:sz w:val="32"/>
          <w:szCs w:val="32"/>
          <w:lang w:val="zh-CN"/>
        </w:rPr>
        <w:t>二、直接确定为较差等次事项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（一）落实全面从严治党主体责任和监督责任不力的；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（二）发生重大政治事件、重大违纪违法事件、意识形态领域重大事件，造成严重社会影响的；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 xml:space="preserve">（三）造成国有资产重大损失的，或出现校园安全重、特大事故的；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rPr>
        <w:t>（四）因疫情防控责任不落实，发生校园聚集性疫情的；　（五）按照有关规定被“一票否决”的；</w:t>
      </w:r>
    </w:p>
    <w:p>
      <w:pPr>
        <w:spacing w:line="520" w:lineRule="exact"/>
        <w:ind w:left="420" w:leftChars="200" w:firstLine="5120" w:firstLineChars="1600"/>
        <w:rPr>
          <w:rFonts w:hint="eastAsia" w:ascii="仿宋_GB2312" w:hAnsi="微软雅黑" w:eastAsia="仿宋_GB2312"/>
          <w:color w:val="333949"/>
          <w:sz w:val="32"/>
          <w:szCs w:val="32"/>
          <w:lang w:val="zh-CN"/>
        </w:rPr>
      </w:pPr>
      <w:r>
        <w:rPr>
          <w:rFonts w:hint="eastAsia" w:ascii="仿宋_GB2312" w:hAnsi="微软雅黑" w:eastAsia="仿宋_GB2312"/>
          <w:color w:val="333949"/>
          <w:sz w:val="32"/>
          <w:szCs w:val="32"/>
          <w:lang w:val="zh-CN" w:eastAsia="zh-CN"/>
        </w:rPr>
        <w:t>2021年</w:t>
      </w:r>
      <w:r>
        <w:rPr>
          <w:rFonts w:hint="eastAsia" w:ascii="仿宋_GB2312" w:hAnsi="微软雅黑" w:eastAsia="仿宋_GB2312"/>
          <w:color w:val="333949"/>
          <w:sz w:val="32"/>
          <w:szCs w:val="32"/>
          <w:lang w:val="en-US" w:eastAsia="zh-CN"/>
        </w:rPr>
        <w:t>4</w:t>
      </w:r>
      <w:r>
        <w:rPr>
          <w:rFonts w:hint="eastAsia" w:ascii="仿宋_GB2312" w:hAnsi="微软雅黑" w:eastAsia="仿宋_GB2312"/>
          <w:color w:val="333949"/>
          <w:sz w:val="32"/>
          <w:szCs w:val="32"/>
          <w:lang w:val="zh-CN" w:eastAsia="zh-CN"/>
        </w:rPr>
        <w:t>月</w:t>
      </w:r>
      <w:r>
        <w:rPr>
          <w:rFonts w:hint="eastAsia" w:ascii="仿宋_GB2312" w:hAnsi="微软雅黑" w:eastAsia="仿宋_GB2312"/>
          <w:color w:val="333949"/>
          <w:sz w:val="32"/>
          <w:szCs w:val="32"/>
          <w:lang w:val="en-US" w:eastAsia="zh-CN"/>
        </w:rPr>
        <w:t>28</w:t>
      </w:r>
      <w:r>
        <w:rPr>
          <w:rFonts w:hint="eastAsia" w:ascii="仿宋_GB2312" w:hAnsi="微软雅黑" w:eastAsia="仿宋_GB2312"/>
          <w:color w:val="333949"/>
          <w:sz w:val="32"/>
          <w:szCs w:val="32"/>
          <w:lang w:val="zh-CN" w:eastAsia="zh-CN"/>
        </w:rPr>
        <w:t>日</w:t>
      </w:r>
    </w:p>
    <w:p>
      <w:pPr>
        <w:pStyle w:val="2"/>
        <w:rPr>
          <w:rFonts w:hint="eastAsia"/>
        </w:rPr>
      </w:pPr>
    </w:p>
    <w:p>
      <w:pPr>
        <w:pStyle w:val="2"/>
        <w:wordWrap/>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Sitka Subheading">
    <w:panose1 w:val="02000505000000020004"/>
    <w:charset w:val="00"/>
    <w:family w:val="auto"/>
    <w:pitch w:val="default"/>
    <w:sig w:usb0="A00002EF" w:usb1="4000204B" w:usb2="00000000" w:usb3="00000000" w:csb0="2000019F" w:csb1="00000000"/>
  </w:font>
  <w:font w:name="SimSun-ExtB">
    <w:panose1 w:val="02010609060101010101"/>
    <w:charset w:val="86"/>
    <w:family w:val="auto"/>
    <w:pitch w:val="default"/>
    <w:sig w:usb0="00000001" w:usb1="02000000" w:usb2="00000000" w:usb3="00000000" w:csb0="00040001" w:csb1="00000000"/>
  </w:font>
  <w:font w:name="Sitka Banner">
    <w:panose1 w:val="02000505000000020004"/>
    <w:charset w:val="00"/>
    <w:family w:val="auto"/>
    <w:pitch w:val="default"/>
    <w:sig w:usb0="A00002EF" w:usb1="4000204B" w:usb2="00000000" w:usb3="00000000" w:csb0="2000019F" w:csb1="00000000"/>
  </w:font>
  <w:font w:name="MS Reference Sans Serif">
    <w:panose1 w:val="020B0604030504040204"/>
    <w:charset w:val="00"/>
    <w:family w:val="auto"/>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4CB14"/>
    <w:multiLevelType w:val="singleLevel"/>
    <w:tmpl w:val="8094CB14"/>
    <w:lvl w:ilvl="0" w:tentative="0">
      <w:start w:val="2"/>
      <w:numFmt w:val="chineseCounting"/>
      <w:suff w:val="nothing"/>
      <w:lvlText w:val="%1、"/>
      <w:lvlJc w:val="left"/>
      <w:rPr>
        <w:rFonts w:hint="eastAsia"/>
      </w:rPr>
    </w:lvl>
  </w:abstractNum>
  <w:abstractNum w:abstractNumId="1">
    <w:nsid w:val="163074D5"/>
    <w:multiLevelType w:val="multilevel"/>
    <w:tmpl w:val="163074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1A"/>
    <w:rsid w:val="000643A0"/>
    <w:rsid w:val="003F3841"/>
    <w:rsid w:val="005078E6"/>
    <w:rsid w:val="005478EF"/>
    <w:rsid w:val="006A232E"/>
    <w:rsid w:val="006B3379"/>
    <w:rsid w:val="00744BE2"/>
    <w:rsid w:val="00756084"/>
    <w:rsid w:val="008819D1"/>
    <w:rsid w:val="00992376"/>
    <w:rsid w:val="00A15687"/>
    <w:rsid w:val="00A52493"/>
    <w:rsid w:val="00A61588"/>
    <w:rsid w:val="00BD313B"/>
    <w:rsid w:val="00DA6BAD"/>
    <w:rsid w:val="00DE3214"/>
    <w:rsid w:val="00E9755E"/>
    <w:rsid w:val="00FC761A"/>
    <w:rsid w:val="0B3502C0"/>
    <w:rsid w:val="14C34D4A"/>
    <w:rsid w:val="6C65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Body Text"/>
    <w:basedOn w:val="1"/>
    <w:semiHidden/>
    <w:unhideWhenUsed/>
    <w:qFormat/>
    <w:uiPriority w:val="1"/>
    <w:pPr>
      <w:autoSpaceDE w:val="0"/>
      <w:autoSpaceDN w:val="0"/>
      <w:jc w:val="left"/>
    </w:pPr>
    <w:rPr>
      <w:rFonts w:ascii="宋体" w:hAnsi="宋体" w:cs="宋体"/>
      <w:kern w:val="0"/>
      <w:sz w:val="32"/>
      <w:szCs w:val="32"/>
      <w:lang w:val="zh-CN" w:bidi="zh-CN"/>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 w:type="table" w:customStyle="1" w:styleId="13">
    <w:name w:val="Table Normal"/>
    <w:semiHidden/>
    <w:qFormat/>
    <w:uiPriority w:val="2"/>
    <w:rPr>
      <w:rFonts w:eastAsia="Times New Roman" w:asciiTheme="minorHAnsi" w:hAnsiTheme="minorHAnsi" w:cstheme="minorBidi"/>
    </w:rPr>
    <w:tblPr>
      <w:tblCellMar>
        <w:top w:w="0" w:type="dxa"/>
        <w:left w:w="0" w:type="dxa"/>
        <w:bottom w:w="0" w:type="dxa"/>
        <w:right w:w="0" w:type="dxa"/>
      </w:tblCellMar>
    </w:tbl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Words>
  <Characters>211</Characters>
  <Lines>1</Lines>
  <Paragraphs>1</Paragraphs>
  <TotalTime>12</TotalTime>
  <ScaleCrop>false</ScaleCrop>
  <LinksUpToDate>false</LinksUpToDate>
  <CharactersWithSpaces>247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2020-10-27T08:06:00Z</dcterms:created>
  <dc:creator>pc</dc:creator>
  <cp:lastModifiedBy>马帅</cp:lastModifiedBy>
  <cp:lastPrinted>2021-05-10T00:31:36Z</cp:lastPrinted>
  <dcterms:modified xsi:type="dcterms:W3CDTF">2021-05-10T00:42:20Z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730C9421693240DF9C3B074D7BD2932A</vt:lpwstr>
  </property>
</Properties>
</file>